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D2221B"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D2221B">
        <w:rPr>
          <w:rFonts w:ascii="Arial" w:eastAsia="MS Mincho" w:hAnsi="Arial" w:cs="Arial"/>
          <w:b/>
          <w:color w:val="000000" w:themeColor="text1"/>
          <w:sz w:val="24"/>
          <w:szCs w:val="24"/>
          <w:lang w:val="en-US" w:eastAsia="en-US"/>
        </w:rPr>
        <w:t>3GPP TSG-RAN WG4 Meeting #</w:t>
      </w:r>
      <w:r w:rsidRPr="00D2221B">
        <w:rPr>
          <w:rFonts w:ascii="Arial" w:eastAsia="MS Mincho" w:hAnsi="Arial" w:cs="Arial"/>
          <w:color w:val="000000" w:themeColor="text1"/>
          <w:sz w:val="20"/>
          <w:szCs w:val="20"/>
          <w:lang w:val="en-US" w:eastAsia="en-US"/>
        </w:rPr>
        <w:t xml:space="preserve"> </w:t>
      </w:r>
      <w:r w:rsidRPr="00D2221B">
        <w:rPr>
          <w:rFonts w:ascii="Arial" w:eastAsia="MS Mincho" w:hAnsi="Arial" w:cs="Arial"/>
          <w:b/>
          <w:color w:val="000000" w:themeColor="text1"/>
          <w:sz w:val="24"/>
          <w:szCs w:val="24"/>
          <w:lang w:val="en-US" w:eastAsia="en-US"/>
        </w:rPr>
        <w:t>10</w:t>
      </w:r>
      <w:r w:rsidR="00913EA3" w:rsidRPr="00D2221B">
        <w:rPr>
          <w:rFonts w:ascii="Arial" w:eastAsiaTheme="minorEastAsia" w:hAnsi="Arial" w:cs="Arial" w:hint="eastAsia"/>
          <w:b/>
          <w:color w:val="000000" w:themeColor="text1"/>
          <w:sz w:val="24"/>
          <w:szCs w:val="24"/>
          <w:lang w:val="en-US"/>
        </w:rPr>
        <w:t>7</w:t>
      </w:r>
      <w:r w:rsidRPr="00D2221B">
        <w:rPr>
          <w:rFonts w:ascii="Arial" w:eastAsiaTheme="minorEastAsia" w:hAnsi="Arial" w:cs="Arial"/>
          <w:b/>
          <w:color w:val="000000" w:themeColor="text1"/>
          <w:sz w:val="24"/>
          <w:szCs w:val="24"/>
          <w:lang w:val="en-US"/>
        </w:rPr>
        <w:t xml:space="preserve">                                                 </w:t>
      </w:r>
      <w:r w:rsidR="00C04B55" w:rsidRPr="00D2221B">
        <w:rPr>
          <w:rFonts w:ascii="Arial" w:eastAsiaTheme="minorEastAsia" w:hAnsi="Arial" w:cs="Arial"/>
          <w:b/>
          <w:color w:val="000000" w:themeColor="text1"/>
          <w:sz w:val="24"/>
          <w:szCs w:val="24"/>
          <w:lang w:val="en-US"/>
        </w:rPr>
        <w:t xml:space="preserve">   </w:t>
      </w:r>
      <w:r w:rsidRPr="00D2221B">
        <w:rPr>
          <w:rFonts w:ascii="Arial" w:eastAsiaTheme="minorEastAsia" w:hAnsi="Arial" w:cs="Arial"/>
          <w:b/>
          <w:color w:val="000000" w:themeColor="text1"/>
          <w:sz w:val="24"/>
          <w:szCs w:val="24"/>
          <w:lang w:val="en-US"/>
        </w:rPr>
        <w:t xml:space="preserve"> </w:t>
      </w:r>
      <w:r w:rsidRPr="00D2221B">
        <w:rPr>
          <w:rFonts w:ascii="Arial" w:hAnsi="Arial" w:cs="Arial"/>
          <w:b/>
          <w:color w:val="000000" w:themeColor="text1"/>
          <w:sz w:val="24"/>
          <w:szCs w:val="24"/>
        </w:rPr>
        <w:t>R4</w:t>
      </w:r>
      <w:r w:rsidR="00654DEF" w:rsidRPr="00D2221B">
        <w:rPr>
          <w:rFonts w:ascii="Arial" w:hAnsi="Arial" w:cs="Arial"/>
          <w:b/>
          <w:color w:val="000000" w:themeColor="text1"/>
          <w:sz w:val="24"/>
          <w:szCs w:val="24"/>
        </w:rPr>
        <w:t>-</w:t>
      </w:r>
      <w:r w:rsidR="002A2DA7" w:rsidRPr="00D2221B">
        <w:rPr>
          <w:color w:val="000000" w:themeColor="text1"/>
        </w:rPr>
        <w:t xml:space="preserve"> </w:t>
      </w:r>
      <w:r w:rsidR="00AE656A" w:rsidRPr="00AE656A">
        <w:rPr>
          <w:rFonts w:ascii="Arial" w:hAnsi="Arial" w:cs="Arial"/>
          <w:b/>
          <w:color w:val="000000" w:themeColor="text1"/>
          <w:sz w:val="24"/>
          <w:szCs w:val="24"/>
        </w:rPr>
        <w:t>2307390</w:t>
      </w:r>
      <w:r w:rsidRPr="00D2221B">
        <w:rPr>
          <w:rFonts w:ascii="Arial" w:eastAsia="MS Mincho" w:hAnsi="Arial" w:cs="Arial"/>
          <w:b/>
          <w:color w:val="000000" w:themeColor="text1"/>
          <w:sz w:val="24"/>
          <w:szCs w:val="24"/>
          <w:lang w:val="en-US" w:eastAsia="en-US"/>
        </w:rPr>
        <w:tab/>
      </w:r>
      <w:r w:rsidRPr="00D2221B">
        <w:rPr>
          <w:rFonts w:ascii="Arial" w:eastAsia="MS Mincho" w:hAnsi="Arial" w:cs="Arial"/>
          <w:b/>
          <w:color w:val="000000" w:themeColor="text1"/>
          <w:sz w:val="24"/>
          <w:szCs w:val="24"/>
          <w:lang w:val="en-US" w:eastAsia="en-US"/>
        </w:rPr>
        <w:tab/>
      </w:r>
      <w:r w:rsidRPr="00D2221B">
        <w:rPr>
          <w:rFonts w:ascii="Arial" w:eastAsia="MS Mincho" w:hAnsi="Arial" w:cs="Arial"/>
          <w:b/>
          <w:color w:val="000000" w:themeColor="text1"/>
          <w:sz w:val="24"/>
          <w:szCs w:val="24"/>
          <w:lang w:val="en-US" w:eastAsia="en-US"/>
        </w:rPr>
        <w:tab/>
        <w:t>R4-22xxxxx</w:t>
      </w:r>
    </w:p>
    <w:p w:rsidR="00913EA3" w:rsidRPr="00D2221B" w:rsidRDefault="00913EA3" w:rsidP="00913EA3">
      <w:pPr>
        <w:pStyle w:val="a5"/>
        <w:tabs>
          <w:tab w:val="right" w:pos="9781"/>
          <w:tab w:val="right" w:pos="13323"/>
        </w:tabs>
        <w:spacing w:before="60" w:after="60"/>
        <w:outlineLvl w:val="0"/>
        <w:rPr>
          <w:rFonts w:cs="Arial"/>
          <w:b w:val="0"/>
          <w:color w:val="000000" w:themeColor="text1"/>
          <w:sz w:val="24"/>
          <w:szCs w:val="24"/>
          <w:lang w:eastAsia="zh-CN"/>
        </w:rPr>
      </w:pPr>
      <w:r w:rsidRPr="00D2221B">
        <w:rPr>
          <w:rFonts w:cs="Arial"/>
          <w:color w:val="000000" w:themeColor="text1"/>
          <w:sz w:val="24"/>
          <w:szCs w:val="24"/>
          <w:lang w:eastAsia="zh-CN"/>
        </w:rPr>
        <w:t>Incheon, KR, May 22 – May 26, 2023</w:t>
      </w:r>
    </w:p>
    <w:p w:rsidR="00A13C4C" w:rsidRPr="00D2221B" w:rsidRDefault="00A13C4C" w:rsidP="000B7C0C">
      <w:pPr>
        <w:pStyle w:val="afb"/>
        <w:spacing w:before="120" w:after="0"/>
        <w:rPr>
          <w:color w:val="000000" w:themeColor="text1"/>
        </w:rPr>
      </w:pPr>
    </w:p>
    <w:p w:rsidR="00360188" w:rsidRPr="00D2221B" w:rsidRDefault="00A63EF1" w:rsidP="00360188">
      <w:pPr>
        <w:pStyle w:val="afb"/>
        <w:spacing w:before="0" w:after="0" w:line="360" w:lineRule="auto"/>
        <w:rPr>
          <w:rFonts w:ascii="Arial" w:hAnsi="Arial" w:cs="Arial"/>
          <w:color w:val="000000" w:themeColor="text1"/>
          <w:lang w:val="en-US"/>
        </w:rPr>
      </w:pPr>
      <w:r w:rsidRPr="00D2221B">
        <w:rPr>
          <w:rFonts w:ascii="Arial" w:hAnsi="Arial" w:cs="Arial"/>
          <w:color w:val="000000" w:themeColor="text1"/>
        </w:rPr>
        <w:t xml:space="preserve">Title: </w:t>
      </w:r>
      <w:r w:rsidRPr="00D2221B">
        <w:rPr>
          <w:rFonts w:ascii="Arial" w:hAnsi="Arial" w:cs="Arial"/>
          <w:b w:val="0"/>
          <w:color w:val="000000" w:themeColor="text1"/>
        </w:rPr>
        <w:tab/>
      </w:r>
      <w:r w:rsidR="00913EA3" w:rsidRPr="00D2221B">
        <w:rPr>
          <w:rFonts w:ascii="Arial" w:hAnsi="Arial" w:cs="Arial" w:hint="eastAsia"/>
          <w:color w:val="000000" w:themeColor="text1"/>
          <w:lang w:val="en-US"/>
        </w:rPr>
        <w:t>I</w:t>
      </w:r>
      <w:r w:rsidR="006059AF" w:rsidRPr="00D2221B">
        <w:rPr>
          <w:rFonts w:ascii="Arial" w:hAnsi="Arial" w:cs="Arial"/>
          <w:color w:val="000000" w:themeColor="text1"/>
          <w:lang w:val="en-US"/>
        </w:rPr>
        <w:t xml:space="preserve">mpact on RF requirements </w:t>
      </w:r>
      <w:r w:rsidR="00360188" w:rsidRPr="00D2221B">
        <w:rPr>
          <w:rFonts w:ascii="Arial" w:hAnsi="Arial" w:cs="Arial"/>
          <w:color w:val="000000" w:themeColor="text1"/>
          <w:lang w:val="en-US"/>
        </w:rPr>
        <w:t>for duplex evolution</w:t>
      </w:r>
    </w:p>
    <w:p w:rsidR="00C34497" w:rsidRPr="00D2221B" w:rsidRDefault="00C34497" w:rsidP="00A63EF1">
      <w:pPr>
        <w:pStyle w:val="afb"/>
        <w:spacing w:before="0" w:after="0" w:line="360" w:lineRule="auto"/>
        <w:rPr>
          <w:rFonts w:ascii="Arial" w:hAnsi="Arial" w:cs="Arial"/>
          <w:color w:val="000000" w:themeColor="text1"/>
        </w:rPr>
      </w:pPr>
      <w:r w:rsidRPr="00D2221B">
        <w:rPr>
          <w:rFonts w:ascii="Arial" w:hAnsi="Arial" w:cs="Arial"/>
          <w:color w:val="000000" w:themeColor="text1"/>
        </w:rPr>
        <w:t xml:space="preserve">Source: </w:t>
      </w:r>
      <w:r w:rsidRPr="00D2221B">
        <w:rPr>
          <w:rFonts w:ascii="Arial" w:hAnsi="Arial" w:cs="Arial"/>
          <w:color w:val="000000" w:themeColor="text1"/>
        </w:rPr>
        <w:tab/>
      </w:r>
      <w:r w:rsidRPr="00D2221B">
        <w:rPr>
          <w:rFonts w:ascii="Arial" w:hAnsi="Arial" w:cs="Arial"/>
          <w:b w:val="0"/>
          <w:color w:val="000000" w:themeColor="text1"/>
        </w:rPr>
        <w:t>CATT</w:t>
      </w:r>
    </w:p>
    <w:p w:rsidR="00C34497" w:rsidRPr="00D2221B" w:rsidRDefault="00C34497" w:rsidP="00A63EF1">
      <w:pPr>
        <w:pStyle w:val="afb"/>
        <w:spacing w:before="0" w:after="0" w:line="360" w:lineRule="auto"/>
        <w:rPr>
          <w:rFonts w:ascii="Arial" w:hAnsi="Arial" w:cs="Arial"/>
          <w:color w:val="000000" w:themeColor="text1"/>
        </w:rPr>
      </w:pPr>
      <w:r w:rsidRPr="00D2221B">
        <w:rPr>
          <w:rFonts w:ascii="Arial" w:hAnsi="Arial" w:cs="Arial"/>
          <w:color w:val="000000" w:themeColor="text1"/>
        </w:rPr>
        <w:t>Agenda item:</w:t>
      </w:r>
      <w:r w:rsidRPr="00D2221B">
        <w:rPr>
          <w:rFonts w:ascii="Arial" w:hAnsi="Arial" w:cs="Arial"/>
          <w:b w:val="0"/>
          <w:color w:val="000000" w:themeColor="text1"/>
        </w:rPr>
        <w:tab/>
      </w:r>
      <w:r w:rsidR="00AE31C9" w:rsidRPr="00D2221B">
        <w:rPr>
          <w:rFonts w:ascii="Arial" w:hAnsi="Arial" w:cs="Arial" w:hint="eastAsia"/>
          <w:b w:val="0"/>
          <w:color w:val="000000" w:themeColor="text1"/>
        </w:rPr>
        <w:t>8</w:t>
      </w:r>
      <w:r w:rsidR="00913EA3" w:rsidRPr="00D2221B">
        <w:rPr>
          <w:rFonts w:ascii="Arial" w:hAnsi="Arial" w:cs="Arial"/>
          <w:b w:val="0"/>
          <w:color w:val="000000" w:themeColor="text1"/>
        </w:rPr>
        <w:t>.</w:t>
      </w:r>
      <w:r w:rsidR="00913EA3" w:rsidRPr="00D2221B">
        <w:rPr>
          <w:rFonts w:ascii="Arial" w:hAnsi="Arial" w:cs="Arial" w:hint="eastAsia"/>
          <w:b w:val="0"/>
          <w:color w:val="000000" w:themeColor="text1"/>
        </w:rPr>
        <w:t>20</w:t>
      </w:r>
      <w:r w:rsidR="00913EA3" w:rsidRPr="00D2221B">
        <w:rPr>
          <w:rFonts w:ascii="Arial" w:hAnsi="Arial" w:cs="Arial"/>
          <w:b w:val="0"/>
          <w:color w:val="000000" w:themeColor="text1"/>
        </w:rPr>
        <w:t>.</w:t>
      </w:r>
      <w:r w:rsidR="00913EA3" w:rsidRPr="00D2221B">
        <w:rPr>
          <w:rFonts w:ascii="Arial" w:hAnsi="Arial" w:cs="Arial" w:hint="eastAsia"/>
          <w:b w:val="0"/>
          <w:color w:val="000000" w:themeColor="text1"/>
        </w:rPr>
        <w:t>2</w:t>
      </w:r>
      <w:r w:rsidR="00913EA3" w:rsidRPr="00D2221B">
        <w:rPr>
          <w:rFonts w:ascii="Arial" w:hAnsi="Arial" w:cs="Arial"/>
          <w:b w:val="0"/>
          <w:color w:val="000000" w:themeColor="text1"/>
        </w:rPr>
        <w:t>.</w:t>
      </w:r>
      <w:r w:rsidR="00913EA3" w:rsidRPr="00D2221B">
        <w:rPr>
          <w:rFonts w:ascii="Arial" w:hAnsi="Arial" w:cs="Arial" w:hint="eastAsia"/>
          <w:b w:val="0"/>
          <w:color w:val="000000" w:themeColor="text1"/>
        </w:rPr>
        <w:t>3</w:t>
      </w:r>
    </w:p>
    <w:p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1" w:name="DocumentFor"/>
      <w:bookmarkEnd w:id="1"/>
      <w:r w:rsidR="00633F4E" w:rsidRPr="00AB45C7">
        <w:rPr>
          <w:rFonts w:ascii="Arial" w:hAnsi="Arial" w:cs="Arial" w:hint="eastAsia"/>
          <w:b w:val="0"/>
        </w:rPr>
        <w:t>Discussion</w:t>
      </w:r>
    </w:p>
    <w:p w:rsidR="004D369A" w:rsidRPr="00AB45C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CB34FD" w:rsidRPr="00AB45C7" w:rsidRDefault="00354D90" w:rsidP="00290BAF">
      <w:pPr>
        <w:spacing w:before="0" w:after="120"/>
        <w:rPr>
          <w:color w:val="000000" w:themeColor="text1"/>
          <w:sz w:val="20"/>
        </w:rPr>
      </w:pPr>
      <w:r>
        <w:rPr>
          <w:color w:val="000000" w:themeColor="text1"/>
          <w:sz w:val="20"/>
          <w:lang w:val="en-US"/>
        </w:rPr>
        <w:t>In the last RAN4 meeting, some views on the SBFD BS RF requirements were provided. WF [1] summarized the discussion status in last meeting.</w:t>
      </w:r>
      <w:r w:rsidR="00AC5CBA" w:rsidRPr="00AC5CBA">
        <w:rPr>
          <w:color w:val="000000" w:themeColor="text1"/>
          <w:sz w:val="20"/>
          <w:lang w:val="en-US"/>
        </w:rPr>
        <w:t xml:space="preserve"> </w:t>
      </w:r>
      <w:r w:rsidR="00AC5CBA">
        <w:rPr>
          <w:color w:val="000000" w:themeColor="text1"/>
          <w:sz w:val="20"/>
          <w:lang w:val="en-US"/>
        </w:rPr>
        <w:t>No agreements were reached,</w:t>
      </w:r>
      <w:r>
        <w:rPr>
          <w:color w:val="000000" w:themeColor="text1"/>
          <w:sz w:val="20"/>
          <w:lang w:val="en-US"/>
        </w:rPr>
        <w:t xml:space="preserve"> </w:t>
      </w:r>
      <w:r w:rsidR="001F1B8A" w:rsidRPr="00AB45C7">
        <w:rPr>
          <w:rFonts w:hint="eastAsia"/>
          <w:color w:val="000000" w:themeColor="text1"/>
          <w:sz w:val="20"/>
          <w:lang w:val="en-US"/>
        </w:rPr>
        <w:t xml:space="preserve">This contribution provides our </w:t>
      </w:r>
      <w:r>
        <w:rPr>
          <w:color w:val="000000" w:themeColor="text1"/>
          <w:sz w:val="20"/>
          <w:lang w:val="en-US"/>
        </w:rPr>
        <w:t xml:space="preserve">further </w:t>
      </w:r>
      <w:r w:rsidR="001F1B8A" w:rsidRPr="00AB45C7">
        <w:rPr>
          <w:rFonts w:hint="eastAsia"/>
          <w:color w:val="000000" w:themeColor="text1"/>
          <w:sz w:val="20"/>
          <w:lang w:val="en-US"/>
        </w:rPr>
        <w:t>analys</w:t>
      </w:r>
      <w:r>
        <w:rPr>
          <w:color w:val="000000" w:themeColor="text1"/>
          <w:sz w:val="20"/>
          <w:lang w:val="en-US"/>
        </w:rPr>
        <w:t>is</w:t>
      </w:r>
      <w:r w:rsidR="001F1B8A" w:rsidRPr="00AB45C7">
        <w:rPr>
          <w:rFonts w:hint="eastAsia"/>
          <w:color w:val="000000" w:themeColor="text1"/>
          <w:sz w:val="20"/>
          <w:lang w:val="en-US"/>
        </w:rPr>
        <w:t xml:space="preserve"> </w:t>
      </w:r>
      <w:r w:rsidR="00C70DE1">
        <w:rPr>
          <w:szCs w:val="20"/>
        </w:rPr>
        <w:t>based on</w:t>
      </w:r>
      <w:r>
        <w:rPr>
          <w:szCs w:val="20"/>
        </w:rPr>
        <w:t xml:space="preserve"> the</w:t>
      </w:r>
      <w:r w:rsidR="00C70DE1">
        <w:rPr>
          <w:rFonts w:hint="eastAsia"/>
          <w:color w:val="000000" w:themeColor="text1"/>
          <w:sz w:val="20"/>
          <w:lang w:val="en-US"/>
        </w:rPr>
        <w:t xml:space="preserve"> WF[1].</w:t>
      </w:r>
    </w:p>
    <w:p w:rsidR="00A77479" w:rsidRDefault="00A77479" w:rsidP="0067208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lang w:eastAsia="zh-CN"/>
        </w:rPr>
        <w:t>RF Requirement Impact</w:t>
      </w:r>
    </w:p>
    <w:p w:rsidR="00672088" w:rsidRDefault="00672088" w:rsidP="00650C45">
      <w:pPr>
        <w:pStyle w:val="2"/>
        <w:numPr>
          <w:ilvl w:val="1"/>
          <w:numId w:val="21"/>
        </w:numPr>
      </w:pPr>
      <w:r w:rsidRPr="00672088">
        <w:t>OTA sensitivity within SBFD time slot</w:t>
      </w:r>
    </w:p>
    <w:p w:rsidR="00C34FF8" w:rsidRDefault="00C34FF8" w:rsidP="005335F8">
      <w:pPr>
        <w:spacing w:before="0" w:after="120"/>
        <w:rPr>
          <w:rFonts w:eastAsiaTheme="minorEastAsia"/>
        </w:rPr>
      </w:pPr>
      <w:r>
        <w:rPr>
          <w:rFonts w:eastAsiaTheme="minorEastAsia"/>
        </w:rPr>
        <w:t>In the last meeting’s discussion, companies were generally ok with the following OTA sensitivity requirement formula.</w:t>
      </w:r>
    </w:p>
    <w:p w:rsidR="00C34FF8" w:rsidRPr="005335F8" w:rsidRDefault="008143F9" w:rsidP="00C34FF8">
      <w:pPr>
        <w:rPr>
          <w:i/>
          <w:szCs w:val="24"/>
        </w:rPr>
      </w:pPr>
      <m:oMathPara>
        <m:oMath>
          <m:func>
            <m:funcPr>
              <m:ctrlPr>
                <w:rPr>
                  <w:rFonts w:ascii="Cambria Math" w:hAnsi="Cambria Math"/>
                  <w:szCs w:val="24"/>
                </w:rPr>
              </m:ctrlPr>
            </m:funcPr>
            <m:fName>
              <m:sSub>
                <m:sSubPr>
                  <m:ctrlPr>
                    <w:rPr>
                      <w:rFonts w:ascii="Cambria Math" w:hAnsi="Cambria Math"/>
                      <w:szCs w:val="24"/>
                    </w:rPr>
                  </m:ctrlPr>
                </m:sSubPr>
                <m:e>
                  <m:r>
                    <m:rPr>
                      <m:sty m:val="p"/>
                    </m:rPr>
                    <w:rPr>
                      <w:rFonts w:ascii="Cambria Math"/>
                      <w:szCs w:val="24"/>
                    </w:rPr>
                    <m:t>P</m:t>
                  </m:r>
                </m:e>
                <m:sub>
                  <m:r>
                    <m:rPr>
                      <m:sty m:val="p"/>
                    </m:rPr>
                    <w:rPr>
                      <w:rFonts w:ascii="Cambria Math"/>
                      <w:szCs w:val="24"/>
                    </w:rPr>
                    <m:t>REFSENS</m:t>
                  </m:r>
                </m:sub>
              </m:sSub>
              <m:d>
                <m:dPr>
                  <m:ctrlPr>
                    <w:rPr>
                      <w:rFonts w:ascii="Cambria Math" w:hAnsi="Cambria Math"/>
                      <w:szCs w:val="24"/>
                    </w:rPr>
                  </m:ctrlPr>
                </m:dPr>
                <m:e>
                  <m:r>
                    <m:rPr>
                      <m:sty m:val="p"/>
                    </m:rPr>
                    <w:rPr>
                      <w:rFonts w:ascii="Cambria Math"/>
                      <w:szCs w:val="24"/>
                    </w:rPr>
                    <m:t>dBm</m:t>
                  </m:r>
                </m:e>
              </m:d>
              <m:r>
                <m:rPr>
                  <m:sty m:val="p"/>
                </m:rPr>
                <w:rPr>
                  <w:rFonts w:ascii="Cambria Math"/>
                  <w:szCs w:val="24"/>
                </w:rPr>
                <m:t>=</m:t>
              </m:r>
              <m:r>
                <m:rPr>
                  <m:sty m:val="p"/>
                </m:rPr>
                <w:rPr>
                  <w:rFonts w:ascii="Cambria Math"/>
                  <w:szCs w:val="24"/>
                </w:rPr>
                <m:t>-</m:t>
              </m:r>
              <m:r>
                <m:rPr>
                  <m:sty m:val="p"/>
                </m:rPr>
                <w:rPr>
                  <w:rFonts w:ascii="Cambria Math"/>
                  <w:szCs w:val="24"/>
                </w:rPr>
                <m:t>174dBm+10</m:t>
              </m:r>
              <m:r>
                <m:rPr>
                  <m:sty m:val="p"/>
                </m:rPr>
                <w:rPr>
                  <w:rFonts w:ascii="Cambria Math"/>
                  <w:szCs w:val="24"/>
                </w:rPr>
                <m:t>×</m:t>
              </m:r>
            </m:fName>
            <m:e>
              <m:r>
                <m:rPr>
                  <m:sty m:val="p"/>
                </m:rPr>
                <w:rPr>
                  <w:rFonts w:ascii="Cambria Math"/>
                  <w:szCs w:val="24"/>
                </w:rPr>
                <m:t>log10</m:t>
              </m:r>
            </m:e>
          </m:func>
          <m:r>
            <m:rPr>
              <m:sty m:val="p"/>
            </m:rPr>
            <w:rPr>
              <w:rFonts w:ascii="Cambria Math"/>
              <w:szCs w:val="24"/>
            </w:rPr>
            <m:t>(BW)+</m:t>
          </m:r>
          <m:sSub>
            <m:sSubPr>
              <m:ctrlPr>
                <w:rPr>
                  <w:rFonts w:ascii="Cambria Math" w:hAnsi="Cambria Math"/>
                  <w:szCs w:val="24"/>
                </w:rPr>
              </m:ctrlPr>
            </m:sSubPr>
            <m:e>
              <m:r>
                <m:rPr>
                  <m:sty m:val="p"/>
                </m:rPr>
                <w:rPr>
                  <w:rFonts w:ascii="Cambria Math"/>
                  <w:szCs w:val="24"/>
                </w:rPr>
                <m:t>N</m:t>
              </m:r>
            </m:e>
            <m:sub>
              <m:r>
                <m:rPr>
                  <m:sty m:val="p"/>
                </m:rPr>
                <w:rPr>
                  <w:rFonts w:ascii="Cambria Math"/>
                  <w:szCs w:val="24"/>
                </w:rPr>
                <m:t>F</m:t>
              </m:r>
            </m:sub>
          </m:sSub>
          <m:r>
            <m:rPr>
              <m:sty m:val="p"/>
            </m:rPr>
            <w:rPr>
              <w:rFonts w:ascii="Cambria Math"/>
              <w:szCs w:val="24"/>
            </w:rPr>
            <m:t>+</m:t>
          </m:r>
          <m:sSub>
            <m:sSubPr>
              <m:ctrlPr>
                <w:rPr>
                  <w:rFonts w:ascii="Cambria Math" w:hAnsi="Cambria Math"/>
                  <w:szCs w:val="24"/>
                </w:rPr>
              </m:ctrlPr>
            </m:sSubPr>
            <m:e>
              <m:r>
                <m:rPr>
                  <m:sty m:val="p"/>
                </m:rPr>
                <w:rPr>
                  <w:rFonts w:ascii="Cambria Math"/>
                  <w:szCs w:val="24"/>
                </w:rPr>
                <m:t>I</m:t>
              </m:r>
            </m:e>
            <m:sub>
              <m:r>
                <m:rPr>
                  <m:sty m:val="p"/>
                </m:rPr>
                <w:rPr>
                  <w:rFonts w:ascii="Cambria Math"/>
                  <w:szCs w:val="24"/>
                </w:rPr>
                <m:t>M</m:t>
              </m:r>
            </m:sub>
          </m:sSub>
          <m:r>
            <m:rPr>
              <m:sty m:val="p"/>
            </m:rPr>
            <w:rPr>
              <w:rFonts w:ascii="Cambria Math"/>
              <w:szCs w:val="24"/>
            </w:rPr>
            <m:t>+SNR+[ 1dB desens target]</m:t>
          </m:r>
        </m:oMath>
      </m:oMathPara>
    </w:p>
    <w:p w:rsidR="00C34FF8" w:rsidRDefault="00C34FF8" w:rsidP="005335F8">
      <w:pPr>
        <w:spacing w:before="0" w:after="120"/>
        <w:rPr>
          <w:rFonts w:eastAsiaTheme="minorEastAsia"/>
          <w:lang w:val="en-US"/>
        </w:rPr>
      </w:pPr>
      <w:r>
        <w:rPr>
          <w:rFonts w:eastAsiaTheme="minorEastAsia"/>
          <w:lang w:val="en-US"/>
        </w:rPr>
        <w:t xml:space="preserve">But there were comments that if the 1dB desens should be the target for the requirement. Currently, 1 dB DESENS is the target for self-interference evaluation. Companies commented that there are also interferences from inter-sector and inter-site. To our understanding, the OTA sensitivity </w:t>
      </w:r>
      <w:r>
        <w:rPr>
          <w:rFonts w:eastAsiaTheme="minorEastAsia" w:hint="eastAsia"/>
          <w:lang w:val="en-US"/>
        </w:rPr>
        <w:t xml:space="preserve">can be defined only for the self-interference scenario. </w:t>
      </w:r>
      <w:r>
        <w:rPr>
          <w:rFonts w:eastAsiaTheme="minorEastAsia"/>
          <w:lang w:val="en-US"/>
        </w:rPr>
        <w:t>O</w:t>
      </w:r>
      <w:r>
        <w:rPr>
          <w:rFonts w:eastAsiaTheme="minorEastAsia" w:hint="eastAsia"/>
          <w:lang w:val="en-US"/>
        </w:rPr>
        <w:t xml:space="preserve">ther </w:t>
      </w:r>
      <w:r>
        <w:rPr>
          <w:rFonts w:eastAsiaTheme="minorEastAsia"/>
          <w:lang w:val="en-US"/>
        </w:rPr>
        <w:t>scenarios</w:t>
      </w:r>
      <w:r>
        <w:rPr>
          <w:rFonts w:eastAsiaTheme="minorEastAsia" w:hint="eastAsia"/>
          <w:lang w:val="en-US"/>
        </w:rPr>
        <w:t xml:space="preserve"> can be discussed </w:t>
      </w:r>
      <w:r>
        <w:rPr>
          <w:rFonts w:eastAsiaTheme="minorEastAsia"/>
          <w:lang w:val="en-US"/>
        </w:rPr>
        <w:t>separately</w:t>
      </w:r>
      <w:r>
        <w:rPr>
          <w:rFonts w:eastAsiaTheme="minorEastAsia" w:hint="eastAsia"/>
          <w:lang w:val="en-US"/>
        </w:rPr>
        <w:t xml:space="preserve"> on how to guarantee the system performance.</w:t>
      </w:r>
    </w:p>
    <w:p w:rsidR="00C34FF8" w:rsidRDefault="00C34FF8" w:rsidP="005335F8">
      <w:pPr>
        <w:spacing w:before="0" w:after="120"/>
        <w:rPr>
          <w:rFonts w:eastAsiaTheme="minorEastAsia"/>
          <w:lang w:val="en-US"/>
        </w:rPr>
      </w:pPr>
      <w:r>
        <w:rPr>
          <w:rFonts w:eastAsiaTheme="minorEastAsia"/>
          <w:lang w:val="en-US"/>
        </w:rPr>
        <w:t>Proposal 1: OTA sensitivity should be defined only for the self-interference scenario.</w:t>
      </w:r>
    </w:p>
    <w:p w:rsidR="005335F8" w:rsidRDefault="00C34FF8" w:rsidP="00672088">
      <w:pPr>
        <w:rPr>
          <w:szCs w:val="24"/>
        </w:rPr>
      </w:pPr>
      <w:r>
        <w:rPr>
          <w:rFonts w:hint="eastAsia"/>
          <w:szCs w:val="24"/>
        </w:rPr>
        <w:t>For t</w:t>
      </w:r>
      <w:r w:rsidR="005335F8">
        <w:rPr>
          <w:rFonts w:hint="eastAsia"/>
          <w:szCs w:val="24"/>
        </w:rPr>
        <w:t xml:space="preserve">he </w:t>
      </w:r>
      <w:r w:rsidR="005335F8" w:rsidRPr="005335F8">
        <w:rPr>
          <w:rFonts w:eastAsiaTheme="minorEastAsia"/>
          <w:lang w:val="en-US"/>
        </w:rPr>
        <w:t xml:space="preserve">exact </w:t>
      </w:r>
      <w:r>
        <w:rPr>
          <w:rFonts w:eastAsiaTheme="minorEastAsia" w:hint="eastAsia"/>
          <w:lang w:val="en-US"/>
        </w:rPr>
        <w:t xml:space="preserve">DESENS </w:t>
      </w:r>
      <w:r w:rsidR="005335F8" w:rsidRPr="005335F8">
        <w:rPr>
          <w:rFonts w:eastAsiaTheme="minorEastAsia"/>
          <w:lang w:val="en-US"/>
        </w:rPr>
        <w:t xml:space="preserve">value </w:t>
      </w:r>
      <w:r>
        <w:rPr>
          <w:rFonts w:eastAsiaTheme="minorEastAsia" w:hint="eastAsia"/>
          <w:lang w:val="en-US"/>
        </w:rPr>
        <w:t xml:space="preserve">in the formula, </w:t>
      </w:r>
      <w:r>
        <w:rPr>
          <w:rFonts w:hint="eastAsia"/>
          <w:szCs w:val="24"/>
        </w:rPr>
        <w:t>it</w:t>
      </w:r>
      <w:r>
        <w:rPr>
          <w:szCs w:val="24"/>
        </w:rPr>
        <w:t xml:space="preserve"> depends </w:t>
      </w:r>
      <w:r w:rsidR="005335F8">
        <w:rPr>
          <w:rFonts w:hint="eastAsia"/>
          <w:szCs w:val="24"/>
        </w:rPr>
        <w:t xml:space="preserve">on </w:t>
      </w:r>
      <w:r>
        <w:rPr>
          <w:rFonts w:hint="eastAsia"/>
          <w:szCs w:val="24"/>
        </w:rPr>
        <w:t xml:space="preserve">the </w:t>
      </w:r>
      <w:r w:rsidR="005335F8">
        <w:rPr>
          <w:rFonts w:hint="eastAsia"/>
          <w:szCs w:val="24"/>
        </w:rPr>
        <w:t xml:space="preserve">SI analysis </w:t>
      </w:r>
      <w:r>
        <w:rPr>
          <w:rFonts w:hint="eastAsia"/>
          <w:szCs w:val="24"/>
        </w:rPr>
        <w:t xml:space="preserve">conclusions which are not available yet, especially for WA BS. This can </w:t>
      </w:r>
      <w:r w:rsidR="005335F8">
        <w:rPr>
          <w:rFonts w:hint="eastAsia"/>
          <w:szCs w:val="24"/>
        </w:rPr>
        <w:t xml:space="preserve">be decided </w:t>
      </w:r>
      <w:r>
        <w:rPr>
          <w:rFonts w:hint="eastAsia"/>
          <w:szCs w:val="24"/>
        </w:rPr>
        <w:t>when there</w:t>
      </w:r>
      <w:r>
        <w:rPr>
          <w:szCs w:val="24"/>
        </w:rPr>
        <w:t>’</w:t>
      </w:r>
      <w:r>
        <w:rPr>
          <w:rFonts w:hint="eastAsia"/>
          <w:szCs w:val="24"/>
        </w:rPr>
        <w:t xml:space="preserve">re conclusions or the final values for each BS class can be discuss and decided in WI phase. </w:t>
      </w:r>
      <w:r w:rsidR="00CA769A">
        <w:rPr>
          <w:rFonts w:hint="eastAsia"/>
          <w:szCs w:val="24"/>
        </w:rPr>
        <w:t xml:space="preserve"> </w:t>
      </w:r>
    </w:p>
    <w:p w:rsidR="00C34FF8" w:rsidRDefault="00C34FF8" w:rsidP="00672088">
      <w:pPr>
        <w:rPr>
          <w:szCs w:val="24"/>
        </w:rPr>
      </w:pPr>
      <w:r>
        <w:rPr>
          <w:rFonts w:hint="eastAsia"/>
          <w:szCs w:val="24"/>
        </w:rPr>
        <w:t>Proposal 2: The exact DESENS value can be discuss and decided in WI phase. The REFSENS formula can be written as following,</w:t>
      </w:r>
    </w:p>
    <w:p w:rsidR="00C34FF8" w:rsidRPr="005335F8" w:rsidRDefault="008143F9" w:rsidP="00C34FF8">
      <w:pPr>
        <w:rPr>
          <w:i/>
          <w:szCs w:val="24"/>
        </w:rPr>
      </w:pPr>
      <m:oMathPara>
        <m:oMath>
          <m:func>
            <m:funcPr>
              <m:ctrlPr>
                <w:rPr>
                  <w:rFonts w:ascii="Cambria Math" w:hAnsi="Cambria Math"/>
                  <w:szCs w:val="24"/>
                </w:rPr>
              </m:ctrlPr>
            </m:funcPr>
            <m:fName>
              <m:sSub>
                <m:sSubPr>
                  <m:ctrlPr>
                    <w:rPr>
                      <w:rFonts w:ascii="Cambria Math" w:hAnsi="Cambria Math"/>
                      <w:szCs w:val="24"/>
                    </w:rPr>
                  </m:ctrlPr>
                </m:sSubPr>
                <m:e>
                  <m:r>
                    <m:rPr>
                      <m:sty m:val="p"/>
                    </m:rPr>
                    <w:rPr>
                      <w:rFonts w:ascii="Cambria Math"/>
                      <w:szCs w:val="24"/>
                    </w:rPr>
                    <m:t>P</m:t>
                  </m:r>
                </m:e>
                <m:sub>
                  <m:r>
                    <m:rPr>
                      <m:sty m:val="p"/>
                    </m:rPr>
                    <w:rPr>
                      <w:rFonts w:ascii="Cambria Math"/>
                      <w:szCs w:val="24"/>
                    </w:rPr>
                    <m:t>REFSENS</m:t>
                  </m:r>
                </m:sub>
              </m:sSub>
              <m:d>
                <m:dPr>
                  <m:ctrlPr>
                    <w:rPr>
                      <w:rFonts w:ascii="Cambria Math" w:hAnsi="Cambria Math"/>
                      <w:szCs w:val="24"/>
                    </w:rPr>
                  </m:ctrlPr>
                </m:dPr>
                <m:e>
                  <m:r>
                    <m:rPr>
                      <m:sty m:val="p"/>
                    </m:rPr>
                    <w:rPr>
                      <w:rFonts w:ascii="Cambria Math"/>
                      <w:szCs w:val="24"/>
                    </w:rPr>
                    <m:t>dBm</m:t>
                  </m:r>
                </m:e>
              </m:d>
              <m:r>
                <m:rPr>
                  <m:sty m:val="p"/>
                </m:rPr>
                <w:rPr>
                  <w:rFonts w:ascii="Cambria Math"/>
                  <w:szCs w:val="24"/>
                </w:rPr>
                <m:t>=</m:t>
              </m:r>
              <m:r>
                <m:rPr>
                  <m:sty m:val="p"/>
                </m:rPr>
                <w:rPr>
                  <w:rFonts w:ascii="Cambria Math"/>
                  <w:szCs w:val="24"/>
                </w:rPr>
                <m:t>-</m:t>
              </m:r>
              <m:r>
                <m:rPr>
                  <m:sty m:val="p"/>
                </m:rPr>
                <w:rPr>
                  <w:rFonts w:ascii="Cambria Math"/>
                  <w:szCs w:val="24"/>
                </w:rPr>
                <m:t>174dBm+10</m:t>
              </m:r>
              <m:r>
                <m:rPr>
                  <m:sty m:val="p"/>
                </m:rPr>
                <w:rPr>
                  <w:rFonts w:ascii="Cambria Math"/>
                  <w:szCs w:val="24"/>
                </w:rPr>
                <m:t>×</m:t>
              </m:r>
            </m:fName>
            <m:e>
              <m:r>
                <m:rPr>
                  <m:sty m:val="p"/>
                </m:rPr>
                <w:rPr>
                  <w:rFonts w:ascii="Cambria Math"/>
                  <w:szCs w:val="24"/>
                </w:rPr>
                <m:t>log10</m:t>
              </m:r>
            </m:e>
          </m:func>
          <m:r>
            <m:rPr>
              <m:sty m:val="p"/>
            </m:rPr>
            <w:rPr>
              <w:rFonts w:ascii="Cambria Math"/>
              <w:szCs w:val="24"/>
            </w:rPr>
            <m:t>(BW)+</m:t>
          </m:r>
          <m:sSub>
            <m:sSubPr>
              <m:ctrlPr>
                <w:rPr>
                  <w:rFonts w:ascii="Cambria Math" w:hAnsi="Cambria Math"/>
                  <w:szCs w:val="24"/>
                </w:rPr>
              </m:ctrlPr>
            </m:sSubPr>
            <m:e>
              <m:r>
                <m:rPr>
                  <m:sty m:val="p"/>
                </m:rPr>
                <w:rPr>
                  <w:rFonts w:ascii="Cambria Math"/>
                  <w:szCs w:val="24"/>
                </w:rPr>
                <m:t>N</m:t>
              </m:r>
            </m:e>
            <m:sub>
              <m:r>
                <m:rPr>
                  <m:sty m:val="p"/>
                </m:rPr>
                <w:rPr>
                  <w:rFonts w:ascii="Cambria Math"/>
                  <w:szCs w:val="24"/>
                </w:rPr>
                <m:t>F</m:t>
              </m:r>
            </m:sub>
          </m:sSub>
          <m:r>
            <m:rPr>
              <m:sty m:val="p"/>
            </m:rPr>
            <w:rPr>
              <w:rFonts w:ascii="Cambria Math"/>
              <w:szCs w:val="24"/>
            </w:rPr>
            <m:t>+</m:t>
          </m:r>
          <m:sSub>
            <m:sSubPr>
              <m:ctrlPr>
                <w:rPr>
                  <w:rFonts w:ascii="Cambria Math" w:hAnsi="Cambria Math"/>
                  <w:szCs w:val="24"/>
                </w:rPr>
              </m:ctrlPr>
            </m:sSubPr>
            <m:e>
              <m:r>
                <m:rPr>
                  <m:sty m:val="p"/>
                </m:rPr>
                <w:rPr>
                  <w:rFonts w:ascii="Cambria Math"/>
                  <w:szCs w:val="24"/>
                </w:rPr>
                <m:t>I</m:t>
              </m:r>
            </m:e>
            <m:sub>
              <m:r>
                <m:rPr>
                  <m:sty m:val="p"/>
                </m:rPr>
                <w:rPr>
                  <w:rFonts w:ascii="Cambria Math"/>
                  <w:szCs w:val="24"/>
                </w:rPr>
                <m:t>M</m:t>
              </m:r>
            </m:sub>
          </m:sSub>
          <m:r>
            <m:rPr>
              <m:sty m:val="p"/>
            </m:rPr>
            <w:rPr>
              <w:rFonts w:ascii="Cambria Math"/>
              <w:szCs w:val="24"/>
            </w:rPr>
            <m:t>+SNR+ xdB desens</m:t>
          </m:r>
        </m:oMath>
      </m:oMathPara>
    </w:p>
    <w:p w:rsidR="00C34FF8" w:rsidRDefault="00C34FF8" w:rsidP="00672088">
      <w:pPr>
        <w:rPr>
          <w:szCs w:val="24"/>
        </w:rPr>
      </w:pPr>
      <w:r>
        <w:rPr>
          <w:rFonts w:hint="eastAsia"/>
          <w:szCs w:val="24"/>
        </w:rPr>
        <w:t>x value can be different for each BS class pending on the discussion.</w:t>
      </w:r>
    </w:p>
    <w:p w:rsidR="00C34FF8" w:rsidRPr="00912EED" w:rsidRDefault="00912EED" w:rsidP="00672088">
      <w:pPr>
        <w:rPr>
          <w:szCs w:val="24"/>
        </w:rPr>
      </w:pPr>
      <w:r>
        <w:rPr>
          <w:szCs w:val="24"/>
        </w:rPr>
        <w:t xml:space="preserve">There was a proposal that maximum </w:t>
      </w:r>
      <w:r w:rsidR="00C34FF8">
        <w:rPr>
          <w:rFonts w:hint="eastAsia"/>
          <w:szCs w:val="24"/>
        </w:rPr>
        <w:t xml:space="preserve">TRP </w:t>
      </w:r>
      <w:r>
        <w:rPr>
          <w:szCs w:val="24"/>
        </w:rPr>
        <w:t xml:space="preserve">is needed for the OTA sensitivity requirement. We agree that that the TRP should be declared for the OTA sensitivity test, which is the same as the current FDD FR2 BS test. However, it may not need to be defined in the OTA </w:t>
      </w:r>
      <w:r w:rsidR="006566F6">
        <w:rPr>
          <w:szCs w:val="24"/>
        </w:rPr>
        <w:t xml:space="preserve">sensitivity requirement. Following current FR2 FDD BS </w:t>
      </w:r>
      <w:r w:rsidR="00AC5CBA">
        <w:rPr>
          <w:szCs w:val="24"/>
        </w:rPr>
        <w:t xml:space="preserve">requirement and </w:t>
      </w:r>
      <w:r w:rsidR="006566F6">
        <w:rPr>
          <w:szCs w:val="24"/>
        </w:rPr>
        <w:t xml:space="preserve">test </w:t>
      </w:r>
      <w:r w:rsidR="00AC5CBA">
        <w:rPr>
          <w:szCs w:val="24"/>
        </w:rPr>
        <w:t>approach c</w:t>
      </w:r>
      <w:r w:rsidR="006566F6">
        <w:rPr>
          <w:szCs w:val="24"/>
        </w:rPr>
        <w:t>ould be ok.</w:t>
      </w:r>
    </w:p>
    <w:p w:rsidR="00C34FF8" w:rsidRPr="00D2221B" w:rsidRDefault="006566F6" w:rsidP="007E6191">
      <w:pPr>
        <w:rPr>
          <w:b/>
          <w:lang w:val="en-US"/>
        </w:rPr>
      </w:pPr>
      <w:r w:rsidRPr="006566F6">
        <w:rPr>
          <w:b/>
          <w:lang w:val="en-US"/>
        </w:rPr>
        <w:t xml:space="preserve">Proposal </w:t>
      </w:r>
      <w:r w:rsidR="00AC5CBA">
        <w:rPr>
          <w:b/>
          <w:lang w:val="en-US"/>
        </w:rPr>
        <w:t>1</w:t>
      </w:r>
      <w:r w:rsidRPr="006566F6">
        <w:rPr>
          <w:b/>
          <w:lang w:val="en-US"/>
        </w:rPr>
        <w:t xml:space="preserve">: For OTA sensitivity test, following current FR2 FDD </w:t>
      </w:r>
      <w:r w:rsidR="00AC5CBA">
        <w:rPr>
          <w:b/>
          <w:lang w:val="en-US"/>
        </w:rPr>
        <w:t xml:space="preserve">BS core requirement and </w:t>
      </w:r>
      <w:r w:rsidRPr="006566F6">
        <w:rPr>
          <w:b/>
          <w:lang w:val="en-US"/>
        </w:rPr>
        <w:t xml:space="preserve">test </w:t>
      </w:r>
      <w:r w:rsidR="00AC5CBA">
        <w:rPr>
          <w:b/>
          <w:lang w:val="en-US"/>
        </w:rPr>
        <w:t>approach could be ok</w:t>
      </w:r>
      <w:r w:rsidRPr="006566F6">
        <w:rPr>
          <w:b/>
          <w:lang w:val="en-US"/>
        </w:rPr>
        <w:t>. No TRP or EIRP requirement is defined for the OTA sensitivity requirement.</w:t>
      </w:r>
    </w:p>
    <w:p w:rsidR="00426904" w:rsidRPr="00AB45C7" w:rsidRDefault="00426904" w:rsidP="00650C45">
      <w:pPr>
        <w:pStyle w:val="2"/>
        <w:numPr>
          <w:ilvl w:val="1"/>
          <w:numId w:val="21"/>
        </w:numPr>
      </w:pPr>
      <w:r w:rsidRPr="00AB45C7">
        <w:rPr>
          <w:rFonts w:hint="eastAsia"/>
        </w:rPr>
        <w:t>New RF requirements for SBFD</w:t>
      </w:r>
    </w:p>
    <w:p w:rsidR="004C1D24" w:rsidRPr="004C1D24" w:rsidRDefault="004C1D24" w:rsidP="00F14A8D">
      <w:pPr>
        <w:spacing w:after="120"/>
        <w:rPr>
          <w:szCs w:val="24"/>
        </w:rPr>
      </w:pPr>
      <w:r w:rsidRPr="004C1D24">
        <w:rPr>
          <w:szCs w:val="24"/>
        </w:rPr>
        <w:t>In RAN4</w:t>
      </w:r>
      <w:r w:rsidRPr="004C1D24">
        <w:rPr>
          <w:rFonts w:hint="eastAsia"/>
          <w:szCs w:val="24"/>
        </w:rPr>
        <w:t>#106bis-e</w:t>
      </w:r>
      <w:r w:rsidR="006566F6">
        <w:rPr>
          <w:szCs w:val="24"/>
        </w:rPr>
        <w:t xml:space="preserve"> meeting</w:t>
      </w:r>
      <w:r w:rsidRPr="004C1D24">
        <w:rPr>
          <w:szCs w:val="24"/>
        </w:rPr>
        <w:t xml:space="preserve">, </w:t>
      </w:r>
      <w:r w:rsidR="00F14A8D">
        <w:rPr>
          <w:rFonts w:hint="eastAsia"/>
        </w:rPr>
        <w:t xml:space="preserve">some </w:t>
      </w:r>
      <w:r w:rsidR="00F14A8D">
        <w:t>requirements</w:t>
      </w:r>
      <w:r w:rsidR="00F14A8D">
        <w:rPr>
          <w:rFonts w:hint="eastAsia"/>
        </w:rPr>
        <w:t xml:space="preserve"> </w:t>
      </w:r>
      <w:r w:rsidR="006566F6">
        <w:t>were proposed.</w:t>
      </w:r>
      <w:r w:rsidRPr="004C1D24">
        <w:rPr>
          <w:rFonts w:hint="eastAsia"/>
          <w:szCs w:val="24"/>
        </w:rPr>
        <w:t xml:space="preserve"> </w:t>
      </w:r>
      <w:r w:rsidR="006566F6">
        <w:rPr>
          <w:szCs w:val="24"/>
        </w:rPr>
        <w:t>Each proposal is analysed as follows.</w:t>
      </w:r>
    </w:p>
    <w:p w:rsidR="002C4D98" w:rsidRPr="002C4D98" w:rsidRDefault="002C4D98" w:rsidP="00650C45">
      <w:pPr>
        <w:pStyle w:val="afa"/>
        <w:numPr>
          <w:ilvl w:val="0"/>
          <w:numId w:val="22"/>
        </w:numPr>
        <w:spacing w:after="80" w:line="240" w:lineRule="auto"/>
        <w:ind w:firstLineChars="0"/>
      </w:pPr>
      <w:r w:rsidRPr="002C4D98">
        <w:t>In-channel adjacent subband leakage ratio</w:t>
      </w:r>
    </w:p>
    <w:p w:rsidR="00F14A8D" w:rsidRDefault="004C1D24" w:rsidP="00692171">
      <w:pPr>
        <w:spacing w:before="0" w:after="120"/>
      </w:pPr>
      <w:r w:rsidRPr="004C1D24">
        <w:rPr>
          <w:szCs w:val="24"/>
        </w:rPr>
        <w:t>In-channel adjacent subband leakage ratio</w:t>
      </w:r>
      <w:r w:rsidR="002C4D98">
        <w:rPr>
          <w:rFonts w:hint="eastAsia"/>
          <w:szCs w:val="24"/>
        </w:rPr>
        <w:t xml:space="preserve"> </w:t>
      </w:r>
      <w:r w:rsidR="00D2221B">
        <w:rPr>
          <w:szCs w:val="24"/>
        </w:rPr>
        <w:t>may</w:t>
      </w:r>
      <w:r w:rsidR="00D2221B">
        <w:rPr>
          <w:rFonts w:hint="eastAsia"/>
          <w:szCs w:val="24"/>
        </w:rPr>
        <w:t xml:space="preserve"> </w:t>
      </w:r>
      <w:r w:rsidRPr="007F59E3">
        <w:rPr>
          <w:szCs w:val="24"/>
        </w:rPr>
        <w:t xml:space="preserve">not </w:t>
      </w:r>
      <w:r w:rsidR="00C815C8">
        <w:rPr>
          <w:szCs w:val="24"/>
        </w:rPr>
        <w:t xml:space="preserve">be </w:t>
      </w:r>
      <w:r w:rsidRPr="007F59E3">
        <w:rPr>
          <w:szCs w:val="24"/>
        </w:rPr>
        <w:t>needed</w:t>
      </w:r>
      <w:r>
        <w:rPr>
          <w:rFonts w:hint="eastAsia"/>
          <w:szCs w:val="24"/>
        </w:rPr>
        <w:t xml:space="preserve"> if only </w:t>
      </w:r>
      <w:r w:rsidR="00C815C8">
        <w:rPr>
          <w:szCs w:val="24"/>
        </w:rPr>
        <w:t xml:space="preserve">SI is </w:t>
      </w:r>
      <w:r w:rsidRPr="008B47C4">
        <w:rPr>
          <w:szCs w:val="24"/>
        </w:rPr>
        <w:t>consider</w:t>
      </w:r>
      <w:r w:rsidR="00C815C8">
        <w:rPr>
          <w:szCs w:val="24"/>
        </w:rPr>
        <w:t>ed</w:t>
      </w:r>
      <w:r w:rsidRPr="008B47C4">
        <w:rPr>
          <w:szCs w:val="24"/>
        </w:rPr>
        <w:t xml:space="preserve"> </w:t>
      </w:r>
      <w:r>
        <w:rPr>
          <w:rFonts w:hint="eastAsia"/>
          <w:szCs w:val="24"/>
        </w:rPr>
        <w:t>when</w:t>
      </w:r>
      <w:r w:rsidRPr="008B47C4">
        <w:rPr>
          <w:szCs w:val="24"/>
        </w:rPr>
        <w:t xml:space="preserve"> SBFD OTA sensitivity requirement is defined</w:t>
      </w:r>
      <w:r w:rsidR="00C815C8">
        <w:rPr>
          <w:szCs w:val="24"/>
        </w:rPr>
        <w:t>. However,</w:t>
      </w:r>
      <w:r w:rsidR="00F14A8D">
        <w:rPr>
          <w:rFonts w:hint="eastAsia"/>
          <w:szCs w:val="24"/>
        </w:rPr>
        <w:t xml:space="preserve"> </w:t>
      </w:r>
      <w:r w:rsidR="005956D3">
        <w:rPr>
          <w:rFonts w:hint="eastAsia"/>
          <w:szCs w:val="24"/>
        </w:rPr>
        <w:t>it</w:t>
      </w:r>
      <w:r w:rsidR="00642228" w:rsidRPr="002C4D98">
        <w:rPr>
          <w:rFonts w:hint="eastAsia"/>
          <w:szCs w:val="24"/>
        </w:rPr>
        <w:t xml:space="preserve"> </w:t>
      </w:r>
      <w:r w:rsidR="00C815C8">
        <w:rPr>
          <w:szCs w:val="24"/>
        </w:rPr>
        <w:t xml:space="preserve">also </w:t>
      </w:r>
      <w:r w:rsidR="00642228" w:rsidRPr="002C4D98">
        <w:rPr>
          <w:rFonts w:hint="eastAsia"/>
          <w:szCs w:val="24"/>
        </w:rPr>
        <w:t>contribute</w:t>
      </w:r>
      <w:r w:rsidR="005956D3">
        <w:rPr>
          <w:rFonts w:hint="eastAsia"/>
          <w:szCs w:val="24"/>
        </w:rPr>
        <w:t>s</w:t>
      </w:r>
      <w:r w:rsidR="00642228" w:rsidRPr="002C4D98">
        <w:rPr>
          <w:rFonts w:hint="eastAsia"/>
          <w:szCs w:val="24"/>
        </w:rPr>
        <w:t xml:space="preserve"> to inter-site CLI and co-site inter-sector CLI</w:t>
      </w:r>
      <w:r w:rsidR="00AE31C9">
        <w:rPr>
          <w:rFonts w:hint="eastAsia"/>
        </w:rPr>
        <w:t>,</w:t>
      </w:r>
      <w:r w:rsidR="00F14A8D">
        <w:rPr>
          <w:rFonts w:hint="eastAsia"/>
        </w:rPr>
        <w:t xml:space="preserve"> </w:t>
      </w:r>
      <w:r w:rsidR="005956D3">
        <w:rPr>
          <w:rFonts w:hint="eastAsia"/>
        </w:rPr>
        <w:t>the performance should be guaranteed</w:t>
      </w:r>
      <w:r w:rsidR="002C4D98">
        <w:rPr>
          <w:rFonts w:hint="eastAsia"/>
        </w:rPr>
        <w:t>.</w:t>
      </w:r>
      <w:r w:rsidR="005956D3">
        <w:rPr>
          <w:rFonts w:hint="eastAsia"/>
        </w:rPr>
        <w:t xml:space="preserve"> So this requirement may be needed.</w:t>
      </w:r>
    </w:p>
    <w:p w:rsidR="002C4D98" w:rsidRPr="002C4D98" w:rsidRDefault="002C4D98" w:rsidP="00650C45">
      <w:pPr>
        <w:pStyle w:val="afa"/>
        <w:numPr>
          <w:ilvl w:val="0"/>
          <w:numId w:val="22"/>
        </w:numPr>
        <w:spacing w:after="80" w:line="240" w:lineRule="auto"/>
        <w:ind w:firstLineChars="0"/>
      </w:pPr>
      <w:r w:rsidRPr="002C4D98">
        <w:rPr>
          <w:rFonts w:hint="eastAsia"/>
        </w:rPr>
        <w:t>I</w:t>
      </w:r>
      <w:r w:rsidRPr="002C4D98">
        <w:t xml:space="preserve">n-channel adjacent </w:t>
      </w:r>
      <w:r w:rsidRPr="002C4D98">
        <w:rPr>
          <w:rFonts w:hint="eastAsia"/>
        </w:rPr>
        <w:t>subband</w:t>
      </w:r>
      <w:r w:rsidRPr="002C4D98">
        <w:t xml:space="preserve"> </w:t>
      </w:r>
      <w:r w:rsidRPr="002C4D98">
        <w:rPr>
          <w:rFonts w:hint="eastAsia"/>
        </w:rPr>
        <w:t>b</w:t>
      </w:r>
      <w:r w:rsidRPr="002C4D98">
        <w:t>locking</w:t>
      </w:r>
      <w:r w:rsidRPr="002C4D98">
        <w:rPr>
          <w:rFonts w:hint="eastAsia"/>
        </w:rPr>
        <w:t>, a</w:t>
      </w:r>
      <w:r w:rsidRPr="002C4D98">
        <w:t xml:space="preserve">djacent </w:t>
      </w:r>
      <w:r w:rsidRPr="002C4D98">
        <w:rPr>
          <w:rFonts w:hint="eastAsia"/>
        </w:rPr>
        <w:t>subband</w:t>
      </w:r>
      <w:r w:rsidRPr="002C4D98">
        <w:t xml:space="preserve"> selectivity</w:t>
      </w:r>
    </w:p>
    <w:p w:rsidR="00C815C8" w:rsidRPr="00D2221B" w:rsidRDefault="00C815C8" w:rsidP="002C4D98">
      <w:pPr>
        <w:spacing w:after="120"/>
        <w:rPr>
          <w:szCs w:val="24"/>
          <w:lang w:val="en-US"/>
        </w:rPr>
      </w:pPr>
      <w:r>
        <w:rPr>
          <w:szCs w:val="24"/>
          <w:lang w:val="en-US"/>
        </w:rPr>
        <w:lastRenderedPageBreak/>
        <w:t xml:space="preserve">Similar with in-channel adjacent subband leakage, adjacent subband selectivity impacts the co-existence with other BS. So it may need to be defined. </w:t>
      </w:r>
      <w:r w:rsidR="00AC5CBA">
        <w:rPr>
          <w:szCs w:val="24"/>
          <w:lang w:val="en-US"/>
        </w:rPr>
        <w:t>For the blocking issue, the test case is the same with adjacent subband selectivity. Therefore, no separate subband blocking requirement is needed.</w:t>
      </w:r>
    </w:p>
    <w:p w:rsidR="00AC5CBA" w:rsidRPr="00D2221B" w:rsidRDefault="00AC5CBA" w:rsidP="00AC5CBA">
      <w:pPr>
        <w:rPr>
          <w:b/>
          <w:lang w:val="en-US"/>
        </w:rPr>
      </w:pPr>
      <w:r w:rsidRPr="00D2221B">
        <w:rPr>
          <w:b/>
          <w:lang w:val="en-US"/>
        </w:rPr>
        <w:t xml:space="preserve">Proposal 2: In-channel adjacent </w:t>
      </w:r>
      <w:r w:rsidRPr="00D2221B">
        <w:rPr>
          <w:rFonts w:hint="eastAsia"/>
          <w:b/>
          <w:lang w:val="en-US"/>
        </w:rPr>
        <w:t>subband</w:t>
      </w:r>
      <w:r w:rsidRPr="00D2221B">
        <w:rPr>
          <w:b/>
          <w:lang w:val="en-US"/>
        </w:rPr>
        <w:t xml:space="preserve"> leakage ratio and in-channel adjacent </w:t>
      </w:r>
      <w:r w:rsidRPr="00D2221B">
        <w:rPr>
          <w:rFonts w:hint="eastAsia"/>
          <w:b/>
          <w:lang w:val="en-US"/>
        </w:rPr>
        <w:t>subband</w:t>
      </w:r>
      <w:r w:rsidRPr="00D2221B">
        <w:rPr>
          <w:b/>
          <w:lang w:val="en-US"/>
        </w:rPr>
        <w:t xml:space="preserve"> selectivity requirements are defined for SBFD capable BS.</w:t>
      </w:r>
      <w:r w:rsidR="003F3C39" w:rsidRPr="00D2221B">
        <w:rPr>
          <w:b/>
          <w:lang w:val="en-US"/>
        </w:rPr>
        <w:t xml:space="preserve"> No separate sub-band blocking requirement is needed.</w:t>
      </w:r>
    </w:p>
    <w:p w:rsidR="00565EB3" w:rsidRPr="00AB45C7" w:rsidRDefault="00E651D4" w:rsidP="00650C45">
      <w:pPr>
        <w:pStyle w:val="2"/>
        <w:numPr>
          <w:ilvl w:val="1"/>
          <w:numId w:val="21"/>
        </w:numPr>
      </w:pPr>
      <w:r w:rsidRPr="00E651D4">
        <w:t>Transmit ON/OFF power</w:t>
      </w:r>
      <w:r w:rsidRPr="00E651D4">
        <w:rPr>
          <w:rFonts w:hint="eastAsia"/>
        </w:rPr>
        <w:t xml:space="preserve"> </w:t>
      </w:r>
      <w:r w:rsidRPr="00E651D4">
        <w:t>requirement</w:t>
      </w:r>
    </w:p>
    <w:p w:rsidR="003F3C39" w:rsidRDefault="003F3C39" w:rsidP="003F3C39">
      <w:pPr>
        <w:spacing w:after="120"/>
      </w:pPr>
      <w:r w:rsidRPr="003F3C39">
        <w:t xml:space="preserve">For transition ON-OFF power and transition period requirement, we don’t see much necessity to define these requirements. In our understanding the SBFD and non-SBFD slots are configured statically, so no such </w:t>
      </w:r>
      <w:r w:rsidR="00E35505">
        <w:t>ON/OFF power requirement is needed.</w:t>
      </w:r>
    </w:p>
    <w:p w:rsidR="00E35505" w:rsidRPr="00FD16E0" w:rsidRDefault="00E35505" w:rsidP="00FD16E0">
      <w:pPr>
        <w:rPr>
          <w:b/>
          <w:color w:val="000000" w:themeColor="text1"/>
          <w:kern w:val="2"/>
          <w:szCs w:val="21"/>
          <w:lang w:val="en-US" w:bidi="ar"/>
        </w:rPr>
      </w:pPr>
      <w:r w:rsidRPr="00FD16E0">
        <w:rPr>
          <w:b/>
          <w:color w:val="000000" w:themeColor="text1"/>
          <w:kern w:val="2"/>
          <w:szCs w:val="21"/>
          <w:lang w:val="en-US" w:bidi="ar"/>
        </w:rPr>
        <w:t>Observation</w:t>
      </w:r>
      <w:r w:rsidR="00FD16E0" w:rsidRPr="00FD16E0">
        <w:rPr>
          <w:rFonts w:hint="eastAsia"/>
          <w:b/>
          <w:color w:val="000000" w:themeColor="text1"/>
          <w:kern w:val="2"/>
          <w:szCs w:val="21"/>
          <w:lang w:val="en-US" w:bidi="ar"/>
        </w:rPr>
        <w:t>1</w:t>
      </w:r>
      <w:r w:rsidRPr="00FD16E0">
        <w:rPr>
          <w:b/>
          <w:color w:val="000000" w:themeColor="text1"/>
          <w:kern w:val="2"/>
          <w:szCs w:val="21"/>
          <w:lang w:val="en-US" w:bidi="ar"/>
        </w:rPr>
        <w:t>: SBFD and non-SBFD slots are configured statically in the real deployment.</w:t>
      </w:r>
    </w:p>
    <w:p w:rsidR="00E35505" w:rsidRPr="00D2221B" w:rsidRDefault="00E35505" w:rsidP="00D2221B">
      <w:pPr>
        <w:rPr>
          <w:b/>
          <w:lang w:val="en-US"/>
        </w:rPr>
      </w:pPr>
      <w:r w:rsidRPr="00D2221B">
        <w:rPr>
          <w:b/>
          <w:lang w:val="en-US"/>
        </w:rPr>
        <w:t xml:space="preserve">Proposal 3: No transmit ON/OFF power requirement is defined for SBFD </w:t>
      </w:r>
    </w:p>
    <w:p w:rsidR="00D93720" w:rsidRDefault="00016C72" w:rsidP="00650C45">
      <w:pPr>
        <w:pStyle w:val="2"/>
        <w:numPr>
          <w:ilvl w:val="1"/>
          <w:numId w:val="21"/>
        </w:numPr>
      </w:pPr>
      <w:r w:rsidRPr="00016C72">
        <w:t xml:space="preserve">Tx intermodulation requirement </w:t>
      </w:r>
      <w:r w:rsidR="00DF01C5">
        <w:rPr>
          <w:rFonts w:hint="eastAsia"/>
        </w:rPr>
        <w:t>for</w:t>
      </w:r>
      <w:r w:rsidRPr="00016C72">
        <w:t xml:space="preserve"> co-location </w:t>
      </w:r>
      <w:r w:rsidR="00DF01C5">
        <w:rPr>
          <w:rFonts w:hint="eastAsia"/>
        </w:rPr>
        <w:t>scenario</w:t>
      </w:r>
    </w:p>
    <w:p w:rsidR="004E416D" w:rsidRDefault="004E416D" w:rsidP="007B3C12">
      <w:pPr>
        <w:rPr>
          <w:color w:val="000000" w:themeColor="text1"/>
          <w:kern w:val="2"/>
          <w:szCs w:val="21"/>
          <w:lang w:val="en-US" w:bidi="ar"/>
        </w:rPr>
      </w:pPr>
      <w:r w:rsidRPr="004E416D">
        <w:rPr>
          <w:rFonts w:hint="eastAsia"/>
          <w:color w:val="000000" w:themeColor="text1"/>
          <w:kern w:val="2"/>
          <w:szCs w:val="21"/>
          <w:lang w:val="en-US" w:bidi="ar"/>
        </w:rPr>
        <w:t xml:space="preserve">For </w:t>
      </w:r>
      <w:r>
        <w:rPr>
          <w:color w:val="000000" w:themeColor="text1"/>
          <w:kern w:val="2"/>
          <w:szCs w:val="21"/>
          <w:lang w:val="en-US" w:bidi="ar"/>
        </w:rPr>
        <w:t>Tx intermodulation requirement, legacy requirement uses 30 dB coupling loss which is too small for SBFD BS co-site deployment. However, if only the coupling loss assumption is the concern, it seems the adjacent sub-band rejection requirement can solve the problem because the Rx capability is defined then the coupling loss should guarantee that the Rx receiver is not blocked. There may be some other scenarios that the other co-location BS Tx signal is the interference signal to SBFD BS, then the IMD product should be kept within some level. If this is the scenario, the legacy Tx IMD requirement seems more stringent than the SBFD BS co-location scenario.</w:t>
      </w:r>
    </w:p>
    <w:p w:rsidR="004E416D" w:rsidRDefault="004E416D" w:rsidP="007B3C12">
      <w:pPr>
        <w:rPr>
          <w:color w:val="000000" w:themeColor="text1"/>
          <w:kern w:val="2"/>
          <w:szCs w:val="21"/>
          <w:lang w:val="en-US" w:bidi="ar"/>
        </w:rPr>
      </w:pPr>
      <w:r>
        <w:rPr>
          <w:color w:val="000000" w:themeColor="text1"/>
          <w:kern w:val="2"/>
          <w:szCs w:val="21"/>
          <w:lang w:val="en-US" w:bidi="ar"/>
        </w:rPr>
        <w:t>So we have the following observation.</w:t>
      </w:r>
    </w:p>
    <w:p w:rsidR="004E416D" w:rsidRPr="00D2221B" w:rsidRDefault="004E416D" w:rsidP="007B3C12">
      <w:pPr>
        <w:rPr>
          <w:b/>
          <w:color w:val="FF0000"/>
          <w:kern w:val="2"/>
          <w:szCs w:val="21"/>
          <w:lang w:val="en-US" w:bidi="ar"/>
        </w:rPr>
      </w:pPr>
      <w:r w:rsidRPr="00D2221B">
        <w:rPr>
          <w:b/>
          <w:color w:val="000000" w:themeColor="text1"/>
          <w:kern w:val="2"/>
          <w:szCs w:val="21"/>
          <w:lang w:val="en-US" w:bidi="ar"/>
        </w:rPr>
        <w:t>Observation</w:t>
      </w:r>
      <w:r w:rsidR="00FD16E0">
        <w:rPr>
          <w:rFonts w:hint="eastAsia"/>
          <w:b/>
          <w:color w:val="000000" w:themeColor="text1"/>
          <w:kern w:val="2"/>
          <w:szCs w:val="21"/>
          <w:lang w:val="en-US" w:bidi="ar"/>
        </w:rPr>
        <w:t>2</w:t>
      </w:r>
      <w:r w:rsidRPr="00D2221B">
        <w:rPr>
          <w:b/>
          <w:color w:val="000000" w:themeColor="text1"/>
          <w:kern w:val="2"/>
          <w:szCs w:val="21"/>
          <w:lang w:val="en-US" w:bidi="ar"/>
        </w:rPr>
        <w:t>: The legacy Tx intermodulation requirement may be able to guarantee the SBFD Tx IMD performance.</w:t>
      </w:r>
    </w:p>
    <w:p w:rsidR="00EA179A" w:rsidRPr="00AB45C7" w:rsidRDefault="00EA179A" w:rsidP="008B4EA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Summary</w:t>
      </w:r>
    </w:p>
    <w:p w:rsidR="00D2221B" w:rsidRPr="00D2221B" w:rsidRDefault="00D2221B" w:rsidP="00D2221B">
      <w:pPr>
        <w:rPr>
          <w:b/>
        </w:rPr>
      </w:pPr>
      <w:r w:rsidRPr="00D2221B">
        <w:rPr>
          <w:b/>
        </w:rPr>
        <w:t>Proposal 1: For OTA sensitivity test, following current FR2 FDD BS core requirement and test approach could be ok. No TRP or EIRP requirement is defined for the OTA sensitivity requirement.</w:t>
      </w:r>
    </w:p>
    <w:p w:rsidR="00D2221B" w:rsidRPr="00D2221B" w:rsidRDefault="00D2221B" w:rsidP="00D2221B">
      <w:pPr>
        <w:rPr>
          <w:b/>
          <w:lang w:val="en-US"/>
        </w:rPr>
      </w:pPr>
      <w:r w:rsidRPr="00D2221B">
        <w:rPr>
          <w:b/>
          <w:lang w:val="en-US"/>
        </w:rPr>
        <w:t xml:space="preserve">Proposal 2: In-channel adjacent </w:t>
      </w:r>
      <w:r w:rsidRPr="00D2221B">
        <w:rPr>
          <w:rFonts w:hint="eastAsia"/>
          <w:b/>
          <w:lang w:val="en-US"/>
        </w:rPr>
        <w:t>subband</w:t>
      </w:r>
      <w:r w:rsidRPr="00D2221B">
        <w:rPr>
          <w:b/>
          <w:lang w:val="en-US"/>
        </w:rPr>
        <w:t xml:space="preserve"> leakage ratio and in-channel adjacent </w:t>
      </w:r>
      <w:r w:rsidRPr="00D2221B">
        <w:rPr>
          <w:rFonts w:hint="eastAsia"/>
          <w:b/>
          <w:lang w:val="en-US"/>
        </w:rPr>
        <w:t>subband</w:t>
      </w:r>
      <w:r w:rsidRPr="00D2221B">
        <w:rPr>
          <w:b/>
          <w:lang w:val="en-US"/>
        </w:rPr>
        <w:t xml:space="preserve"> selectivity requirements are defined for SBFD capable BS. No separate sub-band blocking requirement is needed.</w:t>
      </w:r>
    </w:p>
    <w:p w:rsidR="00816210" w:rsidRPr="00816210" w:rsidRDefault="00816210" w:rsidP="00D2221B">
      <w:pPr>
        <w:rPr>
          <w:b/>
          <w:lang w:val="en-US"/>
        </w:rPr>
      </w:pPr>
      <w:r w:rsidRPr="00FD16E0">
        <w:rPr>
          <w:b/>
          <w:color w:val="000000" w:themeColor="text1"/>
          <w:kern w:val="2"/>
          <w:szCs w:val="21"/>
          <w:lang w:val="en-US" w:bidi="ar"/>
        </w:rPr>
        <w:t>Observation</w:t>
      </w:r>
      <w:r w:rsidRPr="00FD16E0">
        <w:rPr>
          <w:rFonts w:hint="eastAsia"/>
          <w:b/>
          <w:color w:val="000000" w:themeColor="text1"/>
          <w:kern w:val="2"/>
          <w:szCs w:val="21"/>
          <w:lang w:val="en-US" w:bidi="ar"/>
        </w:rPr>
        <w:t>1</w:t>
      </w:r>
      <w:r w:rsidRPr="00FD16E0">
        <w:rPr>
          <w:b/>
          <w:color w:val="000000" w:themeColor="text1"/>
          <w:kern w:val="2"/>
          <w:szCs w:val="21"/>
          <w:lang w:val="en-US" w:bidi="ar"/>
        </w:rPr>
        <w:t>: SBFD and non-SBFD slots are configured statically in the real deployment.</w:t>
      </w:r>
    </w:p>
    <w:p w:rsidR="00D2221B" w:rsidRPr="00D2221B" w:rsidRDefault="00D2221B" w:rsidP="00D2221B">
      <w:pPr>
        <w:rPr>
          <w:b/>
          <w:lang w:val="en-US"/>
        </w:rPr>
      </w:pPr>
      <w:r w:rsidRPr="00D2221B">
        <w:rPr>
          <w:b/>
          <w:lang w:val="en-US"/>
        </w:rPr>
        <w:t xml:space="preserve">Proposal 3: No transmit ON/OFF power requirement is defined for SBFD </w:t>
      </w:r>
    </w:p>
    <w:p w:rsidR="00D2221B" w:rsidRPr="00D2221B" w:rsidRDefault="00D2221B" w:rsidP="00D2221B">
      <w:pPr>
        <w:rPr>
          <w:b/>
          <w:color w:val="FF0000"/>
          <w:kern w:val="2"/>
          <w:szCs w:val="21"/>
          <w:lang w:val="en-US" w:bidi="ar"/>
        </w:rPr>
      </w:pPr>
      <w:r w:rsidRPr="00D2221B">
        <w:rPr>
          <w:b/>
          <w:color w:val="000000" w:themeColor="text1"/>
          <w:kern w:val="2"/>
          <w:szCs w:val="21"/>
          <w:lang w:val="en-US" w:bidi="ar"/>
        </w:rPr>
        <w:t>Observation</w:t>
      </w:r>
      <w:r w:rsidR="00816210">
        <w:rPr>
          <w:rFonts w:hint="eastAsia"/>
          <w:b/>
          <w:color w:val="000000" w:themeColor="text1"/>
          <w:kern w:val="2"/>
          <w:szCs w:val="21"/>
          <w:lang w:val="en-US" w:bidi="ar"/>
        </w:rPr>
        <w:t>2</w:t>
      </w:r>
      <w:r w:rsidRPr="00D2221B">
        <w:rPr>
          <w:b/>
          <w:color w:val="000000" w:themeColor="text1"/>
          <w:kern w:val="2"/>
          <w:szCs w:val="21"/>
          <w:lang w:val="en-US" w:bidi="ar"/>
        </w:rPr>
        <w:t>: The legacy Tx intermodulation requirement may be able to guarantee the SBFD T</w:t>
      </w:r>
      <w:bookmarkStart w:id="2" w:name="_GoBack"/>
      <w:bookmarkEnd w:id="2"/>
      <w:r w:rsidRPr="00D2221B">
        <w:rPr>
          <w:b/>
          <w:color w:val="000000" w:themeColor="text1"/>
          <w:kern w:val="2"/>
          <w:szCs w:val="21"/>
          <w:lang w:val="en-US" w:bidi="ar"/>
        </w:rPr>
        <w:t>x IMD performance.</w:t>
      </w:r>
    </w:p>
    <w:p w:rsidR="00EE45A3" w:rsidRPr="00AB45C7" w:rsidRDefault="00EE45A3" w:rsidP="0007663C">
      <w:pPr>
        <w:pStyle w:val="11"/>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Reference</w:t>
      </w:r>
    </w:p>
    <w:p w:rsidR="00672088" w:rsidRDefault="00436C8C" w:rsidP="00672088">
      <w:pPr>
        <w:rPr>
          <w:color w:val="000000" w:themeColor="text1"/>
        </w:rPr>
      </w:pPr>
      <w:r>
        <w:rPr>
          <w:rFonts w:hint="eastAsia"/>
          <w:color w:val="000000" w:themeColor="text1"/>
        </w:rPr>
        <w:t xml:space="preserve">[1] </w:t>
      </w:r>
      <w:r w:rsidR="005722C8" w:rsidRPr="005722C8">
        <w:rPr>
          <w:color w:val="000000" w:themeColor="text1"/>
        </w:rPr>
        <w:t>R4-2305918</w:t>
      </w:r>
      <w:r w:rsidR="005722C8">
        <w:rPr>
          <w:rFonts w:hint="eastAsia"/>
          <w:color w:val="000000" w:themeColor="text1"/>
        </w:rPr>
        <w:t xml:space="preserve">, </w:t>
      </w:r>
      <w:r w:rsidR="005722C8">
        <w:rPr>
          <w:color w:val="000000" w:themeColor="text1"/>
        </w:rPr>
        <w:t>“</w:t>
      </w:r>
      <w:r w:rsidR="005722C8" w:rsidRPr="005722C8">
        <w:rPr>
          <w:color w:val="000000" w:themeColor="text1"/>
        </w:rPr>
        <w:t xml:space="preserve"> WF on BS RF requirement impact for SBFD</w:t>
      </w:r>
      <w:r w:rsidR="005722C8">
        <w:rPr>
          <w:color w:val="000000" w:themeColor="text1"/>
        </w:rPr>
        <w:t>”</w:t>
      </w:r>
      <w:r w:rsidR="005722C8">
        <w:rPr>
          <w:rFonts w:hint="eastAsia"/>
          <w:color w:val="000000" w:themeColor="text1"/>
        </w:rPr>
        <w:t>, RAN4#106bis-e</w:t>
      </w:r>
      <w:r w:rsidR="00672088">
        <w:rPr>
          <w:rFonts w:hint="eastAsia"/>
          <w:color w:val="000000" w:themeColor="text1"/>
        </w:rPr>
        <w:t xml:space="preserve"> </w:t>
      </w:r>
    </w:p>
    <w:p w:rsidR="00CF744F" w:rsidRPr="00CF744F" w:rsidRDefault="00CF744F" w:rsidP="00672088">
      <w:pPr>
        <w:rPr>
          <w:color w:val="000000" w:themeColor="text1"/>
        </w:rPr>
      </w:pPr>
      <w:r>
        <w:rPr>
          <w:rFonts w:hint="eastAsia"/>
          <w:color w:val="000000" w:themeColor="text1"/>
        </w:rPr>
        <w:t>[2]</w:t>
      </w:r>
      <w:r w:rsidRPr="00CF744F">
        <w:rPr>
          <w:color w:val="000000" w:themeColor="text1"/>
        </w:rPr>
        <w:t xml:space="preserve"> 3GPP TS </w:t>
      </w:r>
      <w:r w:rsidRPr="00CF744F">
        <w:rPr>
          <w:rFonts w:hint="eastAsia"/>
          <w:color w:val="000000" w:themeColor="text1"/>
        </w:rPr>
        <w:t>38</w:t>
      </w:r>
      <w:r w:rsidRPr="00CF744F">
        <w:rPr>
          <w:color w:val="000000" w:themeColor="text1"/>
        </w:rPr>
        <w:t>.104</w:t>
      </w:r>
      <w:r>
        <w:rPr>
          <w:rFonts w:hint="eastAsia"/>
          <w:color w:val="000000" w:themeColor="text1"/>
        </w:rPr>
        <w:t xml:space="preserve">, </w:t>
      </w:r>
      <w:r w:rsidRPr="00CF744F">
        <w:rPr>
          <w:color w:val="000000" w:themeColor="text1"/>
        </w:rPr>
        <w:t>Base Station (BS) radio transmission and reception</w:t>
      </w:r>
    </w:p>
    <w:sectPr w:rsidR="00CF744F" w:rsidRPr="00CF744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3F9" w:rsidRDefault="008143F9" w:rsidP="0095591C">
      <w:pPr>
        <w:spacing w:after="60"/>
        <w:ind w:left="210"/>
      </w:pPr>
      <w:r>
        <w:separator/>
      </w:r>
    </w:p>
  </w:endnote>
  <w:endnote w:type="continuationSeparator" w:id="0">
    <w:p w:rsidR="008143F9" w:rsidRDefault="008143F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D24" w:rsidRDefault="004C1D2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C7EBB">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3F9" w:rsidRDefault="008143F9" w:rsidP="0095591C">
      <w:pPr>
        <w:spacing w:after="60"/>
        <w:ind w:left="210"/>
      </w:pPr>
      <w:r>
        <w:separator/>
      </w:r>
    </w:p>
  </w:footnote>
  <w:footnote w:type="continuationSeparator" w:id="0">
    <w:p w:rsidR="008143F9" w:rsidRDefault="008143F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D24" w:rsidRDefault="004C1D2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AF3D8F"/>
    <w:multiLevelType w:val="hybridMultilevel"/>
    <w:tmpl w:val="A8C66280"/>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2"/>
  </w:num>
  <w:num w:numId="5">
    <w:abstractNumId w:val="6"/>
  </w:num>
  <w:num w:numId="6">
    <w:abstractNumId w:val="19"/>
  </w:num>
  <w:num w:numId="7">
    <w:abstractNumId w:val="3"/>
  </w:num>
  <w:num w:numId="8">
    <w:abstractNumId w:val="13"/>
  </w:num>
  <w:num w:numId="9">
    <w:abstractNumId w:val="9"/>
  </w:num>
  <w:num w:numId="10">
    <w:abstractNumId w:val="18"/>
  </w:num>
  <w:num w:numId="11">
    <w:abstractNumId w:val="20"/>
  </w:num>
  <w:num w:numId="12">
    <w:abstractNumId w:val="21"/>
  </w:num>
  <w:num w:numId="13">
    <w:abstractNumId w:val="10"/>
  </w:num>
  <w:num w:numId="14">
    <w:abstractNumId w:val="11"/>
  </w:num>
  <w:num w:numId="15">
    <w:abstractNumId w:val="8"/>
  </w:num>
  <w:num w:numId="16">
    <w:abstractNumId w:val="16"/>
  </w:num>
  <w:num w:numId="17">
    <w:abstractNumId w:val="0"/>
  </w:num>
  <w:num w:numId="18">
    <w:abstractNumId w:val="17"/>
  </w:num>
  <w:num w:numId="19">
    <w:abstractNumId w:val="14"/>
  </w:num>
  <w:num w:numId="20">
    <w:abstractNumId w:val="1"/>
  </w:num>
  <w:num w:numId="21">
    <w:abstractNumId w:val="5"/>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A2"/>
    <w:rsid w:val="000162AE"/>
    <w:rsid w:val="00016747"/>
    <w:rsid w:val="00016A70"/>
    <w:rsid w:val="00016A7B"/>
    <w:rsid w:val="00016C72"/>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A94"/>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AAE"/>
    <w:rsid w:val="00064AD2"/>
    <w:rsid w:val="00064BBF"/>
    <w:rsid w:val="000654EF"/>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4FB"/>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86E"/>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99B"/>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10"/>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5FEB"/>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2FE"/>
    <w:rsid w:val="001213A4"/>
    <w:rsid w:val="00121402"/>
    <w:rsid w:val="00122AB2"/>
    <w:rsid w:val="00122BEC"/>
    <w:rsid w:val="00122C86"/>
    <w:rsid w:val="0012343F"/>
    <w:rsid w:val="00123E89"/>
    <w:rsid w:val="00123EEA"/>
    <w:rsid w:val="001243A1"/>
    <w:rsid w:val="00124D63"/>
    <w:rsid w:val="00124E28"/>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148"/>
    <w:rsid w:val="00137E8F"/>
    <w:rsid w:val="00140025"/>
    <w:rsid w:val="001401C8"/>
    <w:rsid w:val="001405D4"/>
    <w:rsid w:val="00140660"/>
    <w:rsid w:val="0014068B"/>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1ABB"/>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3CCA"/>
    <w:rsid w:val="00194664"/>
    <w:rsid w:val="00195036"/>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12E1"/>
    <w:rsid w:val="001B27AB"/>
    <w:rsid w:val="001B2D43"/>
    <w:rsid w:val="001B2EC7"/>
    <w:rsid w:val="001B33EF"/>
    <w:rsid w:val="001B3DBA"/>
    <w:rsid w:val="001B3DDC"/>
    <w:rsid w:val="001B4690"/>
    <w:rsid w:val="001B5156"/>
    <w:rsid w:val="001B65B7"/>
    <w:rsid w:val="001B65BA"/>
    <w:rsid w:val="001B7169"/>
    <w:rsid w:val="001B7297"/>
    <w:rsid w:val="001B746B"/>
    <w:rsid w:val="001B7548"/>
    <w:rsid w:val="001B7862"/>
    <w:rsid w:val="001B7C52"/>
    <w:rsid w:val="001C06AA"/>
    <w:rsid w:val="001C08A4"/>
    <w:rsid w:val="001C124E"/>
    <w:rsid w:val="001C1283"/>
    <w:rsid w:val="001C15EB"/>
    <w:rsid w:val="001C1A86"/>
    <w:rsid w:val="001C1E85"/>
    <w:rsid w:val="001C2207"/>
    <w:rsid w:val="001C2476"/>
    <w:rsid w:val="001C2808"/>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2D69"/>
    <w:rsid w:val="001F3A60"/>
    <w:rsid w:val="001F405A"/>
    <w:rsid w:val="001F41B6"/>
    <w:rsid w:val="001F5190"/>
    <w:rsid w:val="001F707F"/>
    <w:rsid w:val="001F766D"/>
    <w:rsid w:val="001F7CD8"/>
    <w:rsid w:val="001F7FC4"/>
    <w:rsid w:val="00200A26"/>
    <w:rsid w:val="00200D08"/>
    <w:rsid w:val="00201302"/>
    <w:rsid w:val="002013B3"/>
    <w:rsid w:val="002021C9"/>
    <w:rsid w:val="00202548"/>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29D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7C6"/>
    <w:rsid w:val="00293923"/>
    <w:rsid w:val="00293E6A"/>
    <w:rsid w:val="002940C6"/>
    <w:rsid w:val="0029431D"/>
    <w:rsid w:val="00294774"/>
    <w:rsid w:val="002947F5"/>
    <w:rsid w:val="002951E6"/>
    <w:rsid w:val="0029559C"/>
    <w:rsid w:val="0029561F"/>
    <w:rsid w:val="0029562B"/>
    <w:rsid w:val="002956B6"/>
    <w:rsid w:val="00295970"/>
    <w:rsid w:val="00295FF4"/>
    <w:rsid w:val="00297A2E"/>
    <w:rsid w:val="00297F8C"/>
    <w:rsid w:val="002A023A"/>
    <w:rsid w:val="002A0815"/>
    <w:rsid w:val="002A0C23"/>
    <w:rsid w:val="002A0F0A"/>
    <w:rsid w:val="002A1E9B"/>
    <w:rsid w:val="002A2862"/>
    <w:rsid w:val="002A2A92"/>
    <w:rsid w:val="002A2BC0"/>
    <w:rsid w:val="002A2C22"/>
    <w:rsid w:val="002A2DA7"/>
    <w:rsid w:val="002A3165"/>
    <w:rsid w:val="002A3B1E"/>
    <w:rsid w:val="002A416A"/>
    <w:rsid w:val="002A4927"/>
    <w:rsid w:val="002A4ADB"/>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3ACA"/>
    <w:rsid w:val="002B42A3"/>
    <w:rsid w:val="002B4397"/>
    <w:rsid w:val="002B45BA"/>
    <w:rsid w:val="002B4B66"/>
    <w:rsid w:val="002B4F0C"/>
    <w:rsid w:val="002B5877"/>
    <w:rsid w:val="002B6225"/>
    <w:rsid w:val="002B650E"/>
    <w:rsid w:val="002B6C9B"/>
    <w:rsid w:val="002B6CB3"/>
    <w:rsid w:val="002B75C6"/>
    <w:rsid w:val="002B7ABC"/>
    <w:rsid w:val="002B7B17"/>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4D98"/>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D3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3FA"/>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2E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516"/>
    <w:rsid w:val="00347AA1"/>
    <w:rsid w:val="00347EEA"/>
    <w:rsid w:val="00347F3B"/>
    <w:rsid w:val="0035030D"/>
    <w:rsid w:val="00350933"/>
    <w:rsid w:val="00350979"/>
    <w:rsid w:val="003509D9"/>
    <w:rsid w:val="003512FD"/>
    <w:rsid w:val="00351670"/>
    <w:rsid w:val="00351760"/>
    <w:rsid w:val="00351A25"/>
    <w:rsid w:val="00352026"/>
    <w:rsid w:val="00352352"/>
    <w:rsid w:val="00352AE6"/>
    <w:rsid w:val="0035314C"/>
    <w:rsid w:val="00354013"/>
    <w:rsid w:val="003544DA"/>
    <w:rsid w:val="003549BC"/>
    <w:rsid w:val="00354D90"/>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40C"/>
    <w:rsid w:val="00364B70"/>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64"/>
    <w:rsid w:val="003852C6"/>
    <w:rsid w:val="003859E9"/>
    <w:rsid w:val="003862F8"/>
    <w:rsid w:val="003863CF"/>
    <w:rsid w:val="00386401"/>
    <w:rsid w:val="00386620"/>
    <w:rsid w:val="00386660"/>
    <w:rsid w:val="0038676D"/>
    <w:rsid w:val="00390875"/>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1D3"/>
    <w:rsid w:val="003A7F97"/>
    <w:rsid w:val="003A7FD6"/>
    <w:rsid w:val="003B01CF"/>
    <w:rsid w:val="003B041E"/>
    <w:rsid w:val="003B04E5"/>
    <w:rsid w:val="003B2154"/>
    <w:rsid w:val="003B2E2A"/>
    <w:rsid w:val="003B32D7"/>
    <w:rsid w:val="003B3318"/>
    <w:rsid w:val="003B5112"/>
    <w:rsid w:val="003B5532"/>
    <w:rsid w:val="003B56C8"/>
    <w:rsid w:val="003B58C8"/>
    <w:rsid w:val="003B6ADF"/>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C3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895"/>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556"/>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1C67"/>
    <w:rsid w:val="00471F8A"/>
    <w:rsid w:val="00472009"/>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8E0"/>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5130"/>
    <w:rsid w:val="004B655A"/>
    <w:rsid w:val="004B6DDA"/>
    <w:rsid w:val="004B73D5"/>
    <w:rsid w:val="004B7FC3"/>
    <w:rsid w:val="004C00CD"/>
    <w:rsid w:val="004C0C16"/>
    <w:rsid w:val="004C0C3D"/>
    <w:rsid w:val="004C0F7A"/>
    <w:rsid w:val="004C111A"/>
    <w:rsid w:val="004C1795"/>
    <w:rsid w:val="004C1D24"/>
    <w:rsid w:val="004C1DA7"/>
    <w:rsid w:val="004C25EB"/>
    <w:rsid w:val="004C2789"/>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6D"/>
    <w:rsid w:val="004E41BF"/>
    <w:rsid w:val="004E4401"/>
    <w:rsid w:val="004E4461"/>
    <w:rsid w:val="004E448D"/>
    <w:rsid w:val="004E4587"/>
    <w:rsid w:val="004E501F"/>
    <w:rsid w:val="004E540B"/>
    <w:rsid w:val="004E55F7"/>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86"/>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5CF0"/>
    <w:rsid w:val="00526557"/>
    <w:rsid w:val="00526693"/>
    <w:rsid w:val="00526AA1"/>
    <w:rsid w:val="00526D89"/>
    <w:rsid w:val="005270AE"/>
    <w:rsid w:val="00527325"/>
    <w:rsid w:val="00527660"/>
    <w:rsid w:val="00527696"/>
    <w:rsid w:val="0052786A"/>
    <w:rsid w:val="00527D46"/>
    <w:rsid w:val="00527FD3"/>
    <w:rsid w:val="00530449"/>
    <w:rsid w:val="0053072F"/>
    <w:rsid w:val="00531822"/>
    <w:rsid w:val="00531DD1"/>
    <w:rsid w:val="00532032"/>
    <w:rsid w:val="005325B8"/>
    <w:rsid w:val="0053313C"/>
    <w:rsid w:val="005333A6"/>
    <w:rsid w:val="005334A2"/>
    <w:rsid w:val="005335F8"/>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D6B"/>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6D2D"/>
    <w:rsid w:val="00567B59"/>
    <w:rsid w:val="00567F62"/>
    <w:rsid w:val="0057014B"/>
    <w:rsid w:val="005701E5"/>
    <w:rsid w:val="00570E13"/>
    <w:rsid w:val="00570FD6"/>
    <w:rsid w:val="0057107D"/>
    <w:rsid w:val="00571877"/>
    <w:rsid w:val="00571C9B"/>
    <w:rsid w:val="00571E8E"/>
    <w:rsid w:val="005722C8"/>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170F"/>
    <w:rsid w:val="00591B95"/>
    <w:rsid w:val="00591F9A"/>
    <w:rsid w:val="00592664"/>
    <w:rsid w:val="00592673"/>
    <w:rsid w:val="00592DCF"/>
    <w:rsid w:val="00593C9F"/>
    <w:rsid w:val="005943AA"/>
    <w:rsid w:val="00595260"/>
    <w:rsid w:val="005955F8"/>
    <w:rsid w:val="005956D3"/>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61E"/>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017"/>
    <w:rsid w:val="005C6118"/>
    <w:rsid w:val="005C6189"/>
    <w:rsid w:val="005C6256"/>
    <w:rsid w:val="005C630D"/>
    <w:rsid w:val="005C6E34"/>
    <w:rsid w:val="005C7518"/>
    <w:rsid w:val="005C7BED"/>
    <w:rsid w:val="005D0450"/>
    <w:rsid w:val="005D05D6"/>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6FC1"/>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54"/>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E81"/>
    <w:rsid w:val="00633F4E"/>
    <w:rsid w:val="00634085"/>
    <w:rsid w:val="00634DAE"/>
    <w:rsid w:val="00634FAD"/>
    <w:rsid w:val="0063552C"/>
    <w:rsid w:val="00636209"/>
    <w:rsid w:val="00636454"/>
    <w:rsid w:val="0063651E"/>
    <w:rsid w:val="00636E8C"/>
    <w:rsid w:val="006373C2"/>
    <w:rsid w:val="00637935"/>
    <w:rsid w:val="00637B40"/>
    <w:rsid w:val="00637CB0"/>
    <w:rsid w:val="00637F35"/>
    <w:rsid w:val="00640535"/>
    <w:rsid w:val="00640ACA"/>
    <w:rsid w:val="00640EF7"/>
    <w:rsid w:val="00641300"/>
    <w:rsid w:val="006416DD"/>
    <w:rsid w:val="00641808"/>
    <w:rsid w:val="0064222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C45"/>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66F6"/>
    <w:rsid w:val="00657757"/>
    <w:rsid w:val="00657E6A"/>
    <w:rsid w:val="006600BD"/>
    <w:rsid w:val="0066119F"/>
    <w:rsid w:val="0066179C"/>
    <w:rsid w:val="006618E2"/>
    <w:rsid w:val="00661BF2"/>
    <w:rsid w:val="00662255"/>
    <w:rsid w:val="00662696"/>
    <w:rsid w:val="00662DBF"/>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088"/>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B16"/>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171"/>
    <w:rsid w:val="00692718"/>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13"/>
    <w:rsid w:val="00697DEB"/>
    <w:rsid w:val="00697F21"/>
    <w:rsid w:val="006A005E"/>
    <w:rsid w:val="006A04F6"/>
    <w:rsid w:val="006A07D3"/>
    <w:rsid w:val="006A0941"/>
    <w:rsid w:val="006A0FFA"/>
    <w:rsid w:val="006A1885"/>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33E3"/>
    <w:rsid w:val="006B36CB"/>
    <w:rsid w:val="006B411D"/>
    <w:rsid w:val="006B42F1"/>
    <w:rsid w:val="006B47E1"/>
    <w:rsid w:val="006B4918"/>
    <w:rsid w:val="006B5099"/>
    <w:rsid w:val="006B5B51"/>
    <w:rsid w:val="006B66CE"/>
    <w:rsid w:val="006B67B5"/>
    <w:rsid w:val="006B6A98"/>
    <w:rsid w:val="006B6B26"/>
    <w:rsid w:val="006B6D89"/>
    <w:rsid w:val="006B73D3"/>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5E97"/>
    <w:rsid w:val="006D622D"/>
    <w:rsid w:val="006D6380"/>
    <w:rsid w:val="006D64BB"/>
    <w:rsid w:val="006D67B5"/>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629"/>
    <w:rsid w:val="006E3DD3"/>
    <w:rsid w:val="006E3EC9"/>
    <w:rsid w:val="006E4013"/>
    <w:rsid w:val="006E4DC2"/>
    <w:rsid w:val="006E4E6D"/>
    <w:rsid w:val="006E4EAC"/>
    <w:rsid w:val="006E4FCE"/>
    <w:rsid w:val="006E51C7"/>
    <w:rsid w:val="006E51DA"/>
    <w:rsid w:val="006E5399"/>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4AE"/>
    <w:rsid w:val="00721867"/>
    <w:rsid w:val="00721FBD"/>
    <w:rsid w:val="007223D5"/>
    <w:rsid w:val="007227ED"/>
    <w:rsid w:val="00722E9C"/>
    <w:rsid w:val="007230D4"/>
    <w:rsid w:val="00723197"/>
    <w:rsid w:val="00723328"/>
    <w:rsid w:val="00723942"/>
    <w:rsid w:val="00723A8A"/>
    <w:rsid w:val="00723CDD"/>
    <w:rsid w:val="007246CC"/>
    <w:rsid w:val="0072472A"/>
    <w:rsid w:val="00724A63"/>
    <w:rsid w:val="00725577"/>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CAD"/>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68F"/>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3E9"/>
    <w:rsid w:val="0079644A"/>
    <w:rsid w:val="00796583"/>
    <w:rsid w:val="00796A50"/>
    <w:rsid w:val="0079712E"/>
    <w:rsid w:val="00797557"/>
    <w:rsid w:val="00797C1E"/>
    <w:rsid w:val="00797EFB"/>
    <w:rsid w:val="007A047E"/>
    <w:rsid w:val="007A0FB0"/>
    <w:rsid w:val="007A1028"/>
    <w:rsid w:val="007A11EC"/>
    <w:rsid w:val="007A13E5"/>
    <w:rsid w:val="007A160B"/>
    <w:rsid w:val="007A1893"/>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3C12"/>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191"/>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279D"/>
    <w:rsid w:val="00813753"/>
    <w:rsid w:val="0081395F"/>
    <w:rsid w:val="00813A3A"/>
    <w:rsid w:val="00813C57"/>
    <w:rsid w:val="008143F9"/>
    <w:rsid w:val="00814683"/>
    <w:rsid w:val="00815098"/>
    <w:rsid w:val="008150B7"/>
    <w:rsid w:val="00815204"/>
    <w:rsid w:val="0081556C"/>
    <w:rsid w:val="00815872"/>
    <w:rsid w:val="00815D77"/>
    <w:rsid w:val="00815EF9"/>
    <w:rsid w:val="00816210"/>
    <w:rsid w:val="00816959"/>
    <w:rsid w:val="008169E2"/>
    <w:rsid w:val="00816A3A"/>
    <w:rsid w:val="00816F2F"/>
    <w:rsid w:val="00816FFC"/>
    <w:rsid w:val="00817AF9"/>
    <w:rsid w:val="008206B7"/>
    <w:rsid w:val="00820D09"/>
    <w:rsid w:val="00821654"/>
    <w:rsid w:val="00821D6B"/>
    <w:rsid w:val="00822353"/>
    <w:rsid w:val="00822453"/>
    <w:rsid w:val="0082275D"/>
    <w:rsid w:val="008232A5"/>
    <w:rsid w:val="008241A2"/>
    <w:rsid w:val="00824316"/>
    <w:rsid w:val="008244EB"/>
    <w:rsid w:val="00824ABB"/>
    <w:rsid w:val="00824AE2"/>
    <w:rsid w:val="00824E50"/>
    <w:rsid w:val="00825379"/>
    <w:rsid w:val="0082545E"/>
    <w:rsid w:val="008260C3"/>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2E2"/>
    <w:rsid w:val="00846757"/>
    <w:rsid w:val="00846FBF"/>
    <w:rsid w:val="00847178"/>
    <w:rsid w:val="008472C4"/>
    <w:rsid w:val="00847AE1"/>
    <w:rsid w:val="008501E0"/>
    <w:rsid w:val="0085098A"/>
    <w:rsid w:val="00852D27"/>
    <w:rsid w:val="00852FD2"/>
    <w:rsid w:val="00853364"/>
    <w:rsid w:val="00853535"/>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6F7"/>
    <w:rsid w:val="008629B5"/>
    <w:rsid w:val="00862A15"/>
    <w:rsid w:val="00862B3D"/>
    <w:rsid w:val="00863C12"/>
    <w:rsid w:val="00863DD1"/>
    <w:rsid w:val="00864605"/>
    <w:rsid w:val="0086466A"/>
    <w:rsid w:val="008649EB"/>
    <w:rsid w:val="00864FD5"/>
    <w:rsid w:val="00865847"/>
    <w:rsid w:val="00865DCC"/>
    <w:rsid w:val="0086637C"/>
    <w:rsid w:val="0086645F"/>
    <w:rsid w:val="00866785"/>
    <w:rsid w:val="008669E4"/>
    <w:rsid w:val="00866F0C"/>
    <w:rsid w:val="008675E1"/>
    <w:rsid w:val="00867A14"/>
    <w:rsid w:val="0087085F"/>
    <w:rsid w:val="00871BE9"/>
    <w:rsid w:val="0087226F"/>
    <w:rsid w:val="0087255F"/>
    <w:rsid w:val="00872980"/>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BA7"/>
    <w:rsid w:val="00886FCE"/>
    <w:rsid w:val="00887361"/>
    <w:rsid w:val="00887D3F"/>
    <w:rsid w:val="0089072B"/>
    <w:rsid w:val="00890951"/>
    <w:rsid w:val="00890AFB"/>
    <w:rsid w:val="00891025"/>
    <w:rsid w:val="00891629"/>
    <w:rsid w:val="008919CA"/>
    <w:rsid w:val="00891D7B"/>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5D88"/>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8AD"/>
    <w:rsid w:val="008E1E61"/>
    <w:rsid w:val="008E2284"/>
    <w:rsid w:val="008E2362"/>
    <w:rsid w:val="008E2464"/>
    <w:rsid w:val="008E2520"/>
    <w:rsid w:val="008E281F"/>
    <w:rsid w:val="008E293E"/>
    <w:rsid w:val="008E3558"/>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AF6"/>
    <w:rsid w:val="00904B19"/>
    <w:rsid w:val="0090502B"/>
    <w:rsid w:val="00905410"/>
    <w:rsid w:val="00905688"/>
    <w:rsid w:val="00905C46"/>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2EED"/>
    <w:rsid w:val="0091307A"/>
    <w:rsid w:val="00913588"/>
    <w:rsid w:val="009138C1"/>
    <w:rsid w:val="00913EA3"/>
    <w:rsid w:val="00914076"/>
    <w:rsid w:val="00914199"/>
    <w:rsid w:val="00914586"/>
    <w:rsid w:val="009148AD"/>
    <w:rsid w:val="00914BDD"/>
    <w:rsid w:val="00914DDA"/>
    <w:rsid w:val="00915A2F"/>
    <w:rsid w:val="00916325"/>
    <w:rsid w:val="00916676"/>
    <w:rsid w:val="0091685F"/>
    <w:rsid w:val="00916C44"/>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41F"/>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6AD"/>
    <w:rsid w:val="00972C96"/>
    <w:rsid w:val="00973824"/>
    <w:rsid w:val="00973F3A"/>
    <w:rsid w:val="00974688"/>
    <w:rsid w:val="00974C0C"/>
    <w:rsid w:val="009751D3"/>
    <w:rsid w:val="00975779"/>
    <w:rsid w:val="00975C53"/>
    <w:rsid w:val="00976177"/>
    <w:rsid w:val="009764AB"/>
    <w:rsid w:val="00976938"/>
    <w:rsid w:val="00976D6B"/>
    <w:rsid w:val="00976D9D"/>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4AAF"/>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6E"/>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C7EBB"/>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7039"/>
    <w:rsid w:val="009D723F"/>
    <w:rsid w:val="009D733D"/>
    <w:rsid w:val="009D7E11"/>
    <w:rsid w:val="009E000B"/>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4D3"/>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3D71"/>
    <w:rsid w:val="00A8405F"/>
    <w:rsid w:val="00A84696"/>
    <w:rsid w:val="00A84879"/>
    <w:rsid w:val="00A84AC0"/>
    <w:rsid w:val="00A84BD4"/>
    <w:rsid w:val="00A84DF8"/>
    <w:rsid w:val="00A859D9"/>
    <w:rsid w:val="00A85AF9"/>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CD0"/>
    <w:rsid w:val="00A93086"/>
    <w:rsid w:val="00A93240"/>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509A"/>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391"/>
    <w:rsid w:val="00AB74EE"/>
    <w:rsid w:val="00AB7739"/>
    <w:rsid w:val="00AB78CF"/>
    <w:rsid w:val="00AB7E1D"/>
    <w:rsid w:val="00AC0282"/>
    <w:rsid w:val="00AC05FB"/>
    <w:rsid w:val="00AC07AC"/>
    <w:rsid w:val="00AC0A11"/>
    <w:rsid w:val="00AC0CB1"/>
    <w:rsid w:val="00AC100B"/>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5CBA"/>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298"/>
    <w:rsid w:val="00AD45EF"/>
    <w:rsid w:val="00AD49B6"/>
    <w:rsid w:val="00AD4C9D"/>
    <w:rsid w:val="00AD4D86"/>
    <w:rsid w:val="00AD50D1"/>
    <w:rsid w:val="00AD54F0"/>
    <w:rsid w:val="00AD5888"/>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1C9"/>
    <w:rsid w:val="00AE3A5E"/>
    <w:rsid w:val="00AE4789"/>
    <w:rsid w:val="00AE49F7"/>
    <w:rsid w:val="00AE4BB4"/>
    <w:rsid w:val="00AE4D98"/>
    <w:rsid w:val="00AE530D"/>
    <w:rsid w:val="00AE5325"/>
    <w:rsid w:val="00AE53C6"/>
    <w:rsid w:val="00AE542D"/>
    <w:rsid w:val="00AE5E3C"/>
    <w:rsid w:val="00AE6349"/>
    <w:rsid w:val="00AE6412"/>
    <w:rsid w:val="00AE656A"/>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6ACB"/>
    <w:rsid w:val="00B177FA"/>
    <w:rsid w:val="00B17F45"/>
    <w:rsid w:val="00B203E2"/>
    <w:rsid w:val="00B2040B"/>
    <w:rsid w:val="00B20BB4"/>
    <w:rsid w:val="00B21635"/>
    <w:rsid w:val="00B2184C"/>
    <w:rsid w:val="00B22BA2"/>
    <w:rsid w:val="00B22FCE"/>
    <w:rsid w:val="00B2315E"/>
    <w:rsid w:val="00B237EB"/>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18C"/>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56F"/>
    <w:rsid w:val="00B55740"/>
    <w:rsid w:val="00B55A20"/>
    <w:rsid w:val="00B55B49"/>
    <w:rsid w:val="00B55F7C"/>
    <w:rsid w:val="00B56714"/>
    <w:rsid w:val="00B56874"/>
    <w:rsid w:val="00B56ABB"/>
    <w:rsid w:val="00B56CB2"/>
    <w:rsid w:val="00B56D0D"/>
    <w:rsid w:val="00B57BB2"/>
    <w:rsid w:val="00B601DA"/>
    <w:rsid w:val="00B605B9"/>
    <w:rsid w:val="00B60CDD"/>
    <w:rsid w:val="00B6184F"/>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70"/>
    <w:rsid w:val="00B95B9D"/>
    <w:rsid w:val="00B96020"/>
    <w:rsid w:val="00B9653D"/>
    <w:rsid w:val="00B96A20"/>
    <w:rsid w:val="00B96C6F"/>
    <w:rsid w:val="00B96CE5"/>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2B2"/>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3AB"/>
    <w:rsid w:val="00BD27C0"/>
    <w:rsid w:val="00BD2A95"/>
    <w:rsid w:val="00BD3569"/>
    <w:rsid w:val="00BD38D9"/>
    <w:rsid w:val="00BD4358"/>
    <w:rsid w:val="00BD4698"/>
    <w:rsid w:val="00BD4E1E"/>
    <w:rsid w:val="00BD4FCC"/>
    <w:rsid w:val="00BD56F1"/>
    <w:rsid w:val="00BD6548"/>
    <w:rsid w:val="00BD6760"/>
    <w:rsid w:val="00BD694B"/>
    <w:rsid w:val="00BD750E"/>
    <w:rsid w:val="00BE0424"/>
    <w:rsid w:val="00BE0A3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0BC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29C4"/>
    <w:rsid w:val="00C03208"/>
    <w:rsid w:val="00C0433C"/>
    <w:rsid w:val="00C0443E"/>
    <w:rsid w:val="00C048B8"/>
    <w:rsid w:val="00C04930"/>
    <w:rsid w:val="00C04B55"/>
    <w:rsid w:val="00C0522D"/>
    <w:rsid w:val="00C053F9"/>
    <w:rsid w:val="00C061E7"/>
    <w:rsid w:val="00C06996"/>
    <w:rsid w:val="00C06A17"/>
    <w:rsid w:val="00C0761C"/>
    <w:rsid w:val="00C07698"/>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1755D"/>
    <w:rsid w:val="00C2083F"/>
    <w:rsid w:val="00C209E8"/>
    <w:rsid w:val="00C20CB3"/>
    <w:rsid w:val="00C20E1A"/>
    <w:rsid w:val="00C21C03"/>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4FF8"/>
    <w:rsid w:val="00C35287"/>
    <w:rsid w:val="00C353AE"/>
    <w:rsid w:val="00C35F34"/>
    <w:rsid w:val="00C3608D"/>
    <w:rsid w:val="00C37C2C"/>
    <w:rsid w:val="00C37F75"/>
    <w:rsid w:val="00C404ED"/>
    <w:rsid w:val="00C412E3"/>
    <w:rsid w:val="00C413AB"/>
    <w:rsid w:val="00C413C3"/>
    <w:rsid w:val="00C42668"/>
    <w:rsid w:val="00C4270B"/>
    <w:rsid w:val="00C42A0F"/>
    <w:rsid w:val="00C42B1B"/>
    <w:rsid w:val="00C42B36"/>
    <w:rsid w:val="00C42F24"/>
    <w:rsid w:val="00C4309C"/>
    <w:rsid w:val="00C44042"/>
    <w:rsid w:val="00C440F1"/>
    <w:rsid w:val="00C441A9"/>
    <w:rsid w:val="00C4491E"/>
    <w:rsid w:val="00C44999"/>
    <w:rsid w:val="00C44E43"/>
    <w:rsid w:val="00C4573F"/>
    <w:rsid w:val="00C45C96"/>
    <w:rsid w:val="00C46F72"/>
    <w:rsid w:val="00C4717C"/>
    <w:rsid w:val="00C472AE"/>
    <w:rsid w:val="00C4730E"/>
    <w:rsid w:val="00C4764A"/>
    <w:rsid w:val="00C47839"/>
    <w:rsid w:val="00C50330"/>
    <w:rsid w:val="00C504B1"/>
    <w:rsid w:val="00C50689"/>
    <w:rsid w:val="00C50DAC"/>
    <w:rsid w:val="00C5178D"/>
    <w:rsid w:val="00C517CB"/>
    <w:rsid w:val="00C517DD"/>
    <w:rsid w:val="00C51911"/>
    <w:rsid w:val="00C519F0"/>
    <w:rsid w:val="00C51BFB"/>
    <w:rsid w:val="00C52349"/>
    <w:rsid w:val="00C52399"/>
    <w:rsid w:val="00C5297D"/>
    <w:rsid w:val="00C52CA1"/>
    <w:rsid w:val="00C537A6"/>
    <w:rsid w:val="00C53D23"/>
    <w:rsid w:val="00C542F3"/>
    <w:rsid w:val="00C54652"/>
    <w:rsid w:val="00C54B1F"/>
    <w:rsid w:val="00C54CFC"/>
    <w:rsid w:val="00C54E6B"/>
    <w:rsid w:val="00C54F7C"/>
    <w:rsid w:val="00C5549F"/>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0DE1"/>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5C8"/>
    <w:rsid w:val="00C81878"/>
    <w:rsid w:val="00C81EE1"/>
    <w:rsid w:val="00C82777"/>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69A"/>
    <w:rsid w:val="00CA7ABD"/>
    <w:rsid w:val="00CA7B15"/>
    <w:rsid w:val="00CA7E4D"/>
    <w:rsid w:val="00CB17BC"/>
    <w:rsid w:val="00CB1AB5"/>
    <w:rsid w:val="00CB21B6"/>
    <w:rsid w:val="00CB2410"/>
    <w:rsid w:val="00CB242B"/>
    <w:rsid w:val="00CB266B"/>
    <w:rsid w:val="00CB2D9B"/>
    <w:rsid w:val="00CB33D5"/>
    <w:rsid w:val="00CB34FD"/>
    <w:rsid w:val="00CB35EE"/>
    <w:rsid w:val="00CB3665"/>
    <w:rsid w:val="00CB3A65"/>
    <w:rsid w:val="00CB3BF0"/>
    <w:rsid w:val="00CB3DB9"/>
    <w:rsid w:val="00CB3FBA"/>
    <w:rsid w:val="00CB43FA"/>
    <w:rsid w:val="00CB4A59"/>
    <w:rsid w:val="00CB4F2A"/>
    <w:rsid w:val="00CB58D5"/>
    <w:rsid w:val="00CB61A4"/>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27E"/>
    <w:rsid w:val="00CF571C"/>
    <w:rsid w:val="00CF599F"/>
    <w:rsid w:val="00CF59D4"/>
    <w:rsid w:val="00CF5FA8"/>
    <w:rsid w:val="00CF6234"/>
    <w:rsid w:val="00CF6326"/>
    <w:rsid w:val="00CF6500"/>
    <w:rsid w:val="00CF6510"/>
    <w:rsid w:val="00CF6E63"/>
    <w:rsid w:val="00CF70C4"/>
    <w:rsid w:val="00CF744F"/>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202"/>
    <w:rsid w:val="00D12CE8"/>
    <w:rsid w:val="00D13153"/>
    <w:rsid w:val="00D131E2"/>
    <w:rsid w:val="00D13924"/>
    <w:rsid w:val="00D13A3A"/>
    <w:rsid w:val="00D13BC4"/>
    <w:rsid w:val="00D13F5A"/>
    <w:rsid w:val="00D1434A"/>
    <w:rsid w:val="00D151D5"/>
    <w:rsid w:val="00D15881"/>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221B"/>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7AF"/>
    <w:rsid w:val="00D33B0A"/>
    <w:rsid w:val="00D33BB1"/>
    <w:rsid w:val="00D33E55"/>
    <w:rsid w:val="00D3400C"/>
    <w:rsid w:val="00D34920"/>
    <w:rsid w:val="00D34D21"/>
    <w:rsid w:val="00D34F92"/>
    <w:rsid w:val="00D3525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682"/>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1EF"/>
    <w:rsid w:val="00D7323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ADC"/>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3720"/>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26F"/>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6D89"/>
    <w:rsid w:val="00DD71FC"/>
    <w:rsid w:val="00DD7310"/>
    <w:rsid w:val="00DD74D2"/>
    <w:rsid w:val="00DD76DF"/>
    <w:rsid w:val="00DD7E88"/>
    <w:rsid w:val="00DE027B"/>
    <w:rsid w:val="00DE05D6"/>
    <w:rsid w:val="00DE0AE4"/>
    <w:rsid w:val="00DE1C17"/>
    <w:rsid w:val="00DE22EC"/>
    <w:rsid w:val="00DE26B6"/>
    <w:rsid w:val="00DE2780"/>
    <w:rsid w:val="00DE278E"/>
    <w:rsid w:val="00DE2AB5"/>
    <w:rsid w:val="00DE2D0E"/>
    <w:rsid w:val="00DE31A5"/>
    <w:rsid w:val="00DE32BD"/>
    <w:rsid w:val="00DE33AA"/>
    <w:rsid w:val="00DE3C4E"/>
    <w:rsid w:val="00DE54A4"/>
    <w:rsid w:val="00DE700B"/>
    <w:rsid w:val="00DE7771"/>
    <w:rsid w:val="00DE794C"/>
    <w:rsid w:val="00DE7A50"/>
    <w:rsid w:val="00DE7B91"/>
    <w:rsid w:val="00DF01C5"/>
    <w:rsid w:val="00DF0608"/>
    <w:rsid w:val="00DF0D24"/>
    <w:rsid w:val="00DF1C22"/>
    <w:rsid w:val="00DF2005"/>
    <w:rsid w:val="00DF27D0"/>
    <w:rsid w:val="00DF27E9"/>
    <w:rsid w:val="00DF2B6C"/>
    <w:rsid w:val="00DF3757"/>
    <w:rsid w:val="00DF3F4A"/>
    <w:rsid w:val="00DF492B"/>
    <w:rsid w:val="00DF4DAE"/>
    <w:rsid w:val="00DF5489"/>
    <w:rsid w:val="00DF582D"/>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612"/>
    <w:rsid w:val="00E026BF"/>
    <w:rsid w:val="00E02795"/>
    <w:rsid w:val="00E035B4"/>
    <w:rsid w:val="00E0419C"/>
    <w:rsid w:val="00E0445D"/>
    <w:rsid w:val="00E04A60"/>
    <w:rsid w:val="00E05CEF"/>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5505"/>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1F09"/>
    <w:rsid w:val="00E62411"/>
    <w:rsid w:val="00E62AA9"/>
    <w:rsid w:val="00E62BBE"/>
    <w:rsid w:val="00E63216"/>
    <w:rsid w:val="00E635D5"/>
    <w:rsid w:val="00E64431"/>
    <w:rsid w:val="00E651D4"/>
    <w:rsid w:val="00E6524D"/>
    <w:rsid w:val="00E65306"/>
    <w:rsid w:val="00E6548A"/>
    <w:rsid w:val="00E654EA"/>
    <w:rsid w:val="00E6564A"/>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14E"/>
    <w:rsid w:val="00EA03B9"/>
    <w:rsid w:val="00EA04BA"/>
    <w:rsid w:val="00EA06FF"/>
    <w:rsid w:val="00EA0B36"/>
    <w:rsid w:val="00EA0F62"/>
    <w:rsid w:val="00EA1165"/>
    <w:rsid w:val="00EA1420"/>
    <w:rsid w:val="00EA179A"/>
    <w:rsid w:val="00EA17B1"/>
    <w:rsid w:val="00EA1C16"/>
    <w:rsid w:val="00EA1C8B"/>
    <w:rsid w:val="00EA1FD1"/>
    <w:rsid w:val="00EA223D"/>
    <w:rsid w:val="00EA23BA"/>
    <w:rsid w:val="00EA320D"/>
    <w:rsid w:val="00EA3820"/>
    <w:rsid w:val="00EA38E0"/>
    <w:rsid w:val="00EA419E"/>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613"/>
    <w:rsid w:val="00ED17A7"/>
    <w:rsid w:val="00ED1F0C"/>
    <w:rsid w:val="00ED21E3"/>
    <w:rsid w:val="00ED2217"/>
    <w:rsid w:val="00ED271B"/>
    <w:rsid w:val="00ED2AC5"/>
    <w:rsid w:val="00ED2C55"/>
    <w:rsid w:val="00ED2FA0"/>
    <w:rsid w:val="00ED300F"/>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E21"/>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4A8D"/>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24"/>
    <w:rsid w:val="00F27FEB"/>
    <w:rsid w:val="00F30897"/>
    <w:rsid w:val="00F31181"/>
    <w:rsid w:val="00F317BD"/>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639"/>
    <w:rsid w:val="00F3795E"/>
    <w:rsid w:val="00F37B23"/>
    <w:rsid w:val="00F37FF0"/>
    <w:rsid w:val="00F406F9"/>
    <w:rsid w:val="00F4086E"/>
    <w:rsid w:val="00F40A80"/>
    <w:rsid w:val="00F41587"/>
    <w:rsid w:val="00F42523"/>
    <w:rsid w:val="00F42661"/>
    <w:rsid w:val="00F42B1B"/>
    <w:rsid w:val="00F42F7E"/>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890"/>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0E6"/>
    <w:rsid w:val="00FB7817"/>
    <w:rsid w:val="00FB7C38"/>
    <w:rsid w:val="00FC03AF"/>
    <w:rsid w:val="00FC0A5A"/>
    <w:rsid w:val="00FC161C"/>
    <w:rsid w:val="00FC1861"/>
    <w:rsid w:val="00FC1AE4"/>
    <w:rsid w:val="00FC230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6E0"/>
    <w:rsid w:val="00FD1909"/>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2"/>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885"/>
    <w:rsid w:val="00FF1916"/>
    <w:rsid w:val="00FF1CB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c-color-gray2">
    <w:name w:val="c-color-gray2"/>
    <w:basedOn w:val="a2"/>
    <w:rsid w:val="00437895"/>
  </w:style>
  <w:style w:type="character" w:customStyle="1" w:styleId="ui-provider">
    <w:name w:val="ui-provider"/>
    <w:basedOn w:val="a2"/>
    <w:rsid w:val="001950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c-color-gray2">
    <w:name w:val="c-color-gray2"/>
    <w:basedOn w:val="a2"/>
    <w:rsid w:val="00437895"/>
  </w:style>
  <w:style w:type="character" w:customStyle="1" w:styleId="ui-provider">
    <w:name w:val="ui-provider"/>
    <w:basedOn w:val="a2"/>
    <w:rsid w:val="00195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8482950">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1928489">
      <w:bodyDiv w:val="1"/>
      <w:marLeft w:val="0"/>
      <w:marRight w:val="0"/>
      <w:marTop w:val="0"/>
      <w:marBottom w:val="0"/>
      <w:divBdr>
        <w:top w:val="none" w:sz="0" w:space="0" w:color="auto"/>
        <w:left w:val="none" w:sz="0" w:space="0" w:color="auto"/>
        <w:bottom w:val="none" w:sz="0" w:space="0" w:color="auto"/>
        <w:right w:val="none" w:sz="0" w:space="0" w:color="auto"/>
      </w:divBdr>
      <w:divsChild>
        <w:div w:id="1980525074">
          <w:marLeft w:val="0"/>
          <w:marRight w:val="45"/>
          <w:marTop w:val="0"/>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DC52E-CBFC-440B-A035-DD8440F3C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5485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50</cp:revision>
  <cp:lastPrinted>2007-04-24T00:59:00Z</cp:lastPrinted>
  <dcterms:created xsi:type="dcterms:W3CDTF">2023-05-15T13:15:00Z</dcterms:created>
  <dcterms:modified xsi:type="dcterms:W3CDTF">2023-05-15T13:20:00Z</dcterms:modified>
</cp:coreProperties>
</file>